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A0A23" w14:textId="3836BA37" w:rsidR="002123C1" w:rsidRPr="00C33BFB" w:rsidRDefault="00C33BFB" w:rsidP="001F671D">
      <w:pPr>
        <w:rPr>
          <w:i/>
          <w:iCs/>
          <w:szCs w:val="24"/>
          <w:lang w:val="en-US"/>
        </w:rPr>
      </w:pPr>
      <w:r w:rsidRPr="00C33BFB">
        <w:rPr>
          <w:b/>
          <w:bCs/>
          <w:szCs w:val="24"/>
          <w:lang w:val="en-US"/>
        </w:rPr>
        <w:t>A</w:t>
      </w:r>
      <w:r>
        <w:rPr>
          <w:b/>
          <w:bCs/>
          <w:szCs w:val="24"/>
          <w:lang w:val="en-US"/>
        </w:rPr>
        <w:t>ll-n</w:t>
      </w:r>
      <w:r w:rsidR="002123C1" w:rsidRPr="00C33BFB">
        <w:rPr>
          <w:b/>
          <w:bCs/>
          <w:szCs w:val="24"/>
          <w:lang w:val="en-US"/>
        </w:rPr>
        <w:t>ew system solutions for power distribution in rail vehicles</w:t>
      </w:r>
      <w:r w:rsidR="001F671D" w:rsidRPr="00C33BFB">
        <w:rPr>
          <w:b/>
          <w:bCs/>
          <w:szCs w:val="24"/>
          <w:lang w:val="en-US"/>
        </w:rPr>
        <w:br/>
      </w:r>
      <w:r>
        <w:rPr>
          <w:szCs w:val="24"/>
          <w:lang w:val="en-US"/>
        </w:rPr>
        <w:t xml:space="preserve">Convenient </w:t>
      </w:r>
      <w:r w:rsidR="002123C1" w:rsidRPr="00C33BFB">
        <w:rPr>
          <w:szCs w:val="24"/>
          <w:lang w:val="en-US"/>
        </w:rPr>
        <w:t xml:space="preserve">and quick to install </w:t>
      </w:r>
      <w:r w:rsidR="001F671D" w:rsidRPr="00C33BFB">
        <w:rPr>
          <w:szCs w:val="24"/>
          <w:lang w:val="en-US"/>
        </w:rPr>
        <w:t xml:space="preserve">/ </w:t>
      </w:r>
      <w:r w:rsidR="002123C1" w:rsidRPr="00C33BFB">
        <w:rPr>
          <w:szCs w:val="24"/>
          <w:lang w:val="en-US"/>
        </w:rPr>
        <w:t>Simple maintain</w:t>
      </w:r>
      <w:r>
        <w:rPr>
          <w:szCs w:val="24"/>
          <w:lang w:val="en-US"/>
        </w:rPr>
        <w:t>ance</w:t>
      </w:r>
    </w:p>
    <w:p w14:paraId="1AF3BFA0" w14:textId="65297B00" w:rsidR="00E85F34" w:rsidRPr="00060E12" w:rsidRDefault="00E85F34" w:rsidP="004A12CA">
      <w:pPr>
        <w:spacing w:line="360" w:lineRule="auto"/>
        <w:rPr>
          <w:b/>
          <w:bCs/>
          <w:lang w:val="en-US"/>
        </w:rPr>
      </w:pPr>
      <w:r w:rsidRPr="004A12CA">
        <w:rPr>
          <w:b/>
          <w:bCs/>
          <w:lang w:val="en-US"/>
        </w:rPr>
        <w:t xml:space="preserve">Espelkamp / Hanover, April </w:t>
      </w:r>
      <w:r w:rsidR="005B753C" w:rsidRPr="004A12CA">
        <w:rPr>
          <w:b/>
          <w:bCs/>
          <w:lang w:val="en-US"/>
        </w:rPr>
        <w:t xml:space="preserve">12, </w:t>
      </w:r>
      <w:r w:rsidRPr="004A12CA">
        <w:rPr>
          <w:b/>
          <w:bCs/>
          <w:lang w:val="en-US"/>
        </w:rPr>
        <w:t xml:space="preserve">2021 --- </w:t>
      </w:r>
      <w:r w:rsidR="004A12CA" w:rsidRPr="004A12CA">
        <w:rPr>
          <w:b/>
          <w:bCs/>
          <w:lang w:val="en-US"/>
        </w:rPr>
        <w:t xml:space="preserve">HARTING has developed new interfaces for the power supply of trains that are optimized for a long service life and thus stand for sustainability: </w:t>
      </w:r>
      <w:r w:rsidRPr="004A12CA">
        <w:rPr>
          <w:b/>
          <w:bCs/>
          <w:lang w:val="en-US"/>
        </w:rPr>
        <w:t>The Han</w:t>
      </w:r>
      <w:r w:rsidRPr="00060E12">
        <w:rPr>
          <w:b/>
          <w:bCs/>
          <w:vertAlign w:val="superscript"/>
          <w:lang w:val="en-US"/>
        </w:rPr>
        <w:t>®</w:t>
      </w:r>
      <w:r w:rsidRPr="004A12CA">
        <w:rPr>
          <w:b/>
          <w:bCs/>
          <w:lang w:val="en-US"/>
        </w:rPr>
        <w:t xml:space="preserve"> HPR High Performance Transformer Connector (HPTC) is a transformer interface </w:t>
      </w:r>
      <w:r w:rsidR="00C33BFB" w:rsidRPr="004A12CA">
        <w:rPr>
          <w:b/>
          <w:bCs/>
          <w:lang w:val="en-US"/>
        </w:rPr>
        <w:t xml:space="preserve">especially </w:t>
      </w:r>
      <w:r w:rsidRPr="004A12CA">
        <w:rPr>
          <w:b/>
          <w:bCs/>
          <w:lang w:val="en-US"/>
        </w:rPr>
        <w:t>developed for railway customers</w:t>
      </w:r>
      <w:r w:rsidR="00C33BFB" w:rsidRPr="004A12CA">
        <w:rPr>
          <w:b/>
          <w:bCs/>
          <w:lang w:val="en-US"/>
        </w:rPr>
        <w:t xml:space="preserve"> and </w:t>
      </w:r>
      <w:r w:rsidRPr="004A12CA">
        <w:rPr>
          <w:b/>
          <w:bCs/>
          <w:lang w:val="en-US"/>
        </w:rPr>
        <w:t xml:space="preserve">optimised for outdoor use. </w:t>
      </w:r>
      <w:r w:rsidRPr="00060E12">
        <w:rPr>
          <w:b/>
          <w:bCs/>
          <w:lang w:val="en-US"/>
        </w:rPr>
        <w:t>The HPTC pluggably connects the converter to the transformer. The new interface is available in the 400, 850 and 1400 A</w:t>
      </w:r>
      <w:r w:rsidR="00C33BFB" w:rsidRPr="00060E12">
        <w:rPr>
          <w:b/>
          <w:bCs/>
          <w:lang w:val="en-US"/>
        </w:rPr>
        <w:t xml:space="preserve"> power classes</w:t>
      </w:r>
      <w:r w:rsidRPr="00060E12">
        <w:rPr>
          <w:b/>
          <w:bCs/>
          <w:lang w:val="en-US"/>
        </w:rPr>
        <w:t xml:space="preserve">, </w:t>
      </w:r>
      <w:r w:rsidR="00C33BFB" w:rsidRPr="00060E12">
        <w:rPr>
          <w:b/>
          <w:bCs/>
          <w:lang w:val="en-US"/>
        </w:rPr>
        <w:t xml:space="preserve">while </w:t>
      </w:r>
      <w:r w:rsidRPr="00060E12">
        <w:rPr>
          <w:b/>
          <w:bCs/>
          <w:lang w:val="en-US"/>
        </w:rPr>
        <w:t xml:space="preserve">voltages up to 3.6 kV/4.8 kV can be transmitted. IP degree of protection up to IP69K can also be </w:t>
      </w:r>
      <w:r w:rsidR="00C33BFB" w:rsidRPr="00060E12">
        <w:rPr>
          <w:b/>
          <w:bCs/>
          <w:lang w:val="en-US"/>
        </w:rPr>
        <w:t>implemented</w:t>
      </w:r>
      <w:r w:rsidRPr="00060E12">
        <w:rPr>
          <w:b/>
          <w:bCs/>
          <w:lang w:val="en-US"/>
        </w:rPr>
        <w:t>.</w:t>
      </w:r>
    </w:p>
    <w:p w14:paraId="216D3266" w14:textId="53CD537F" w:rsidR="002123C1" w:rsidRPr="00C33BFB" w:rsidRDefault="00C33BFB" w:rsidP="001F671D">
      <w:pPr>
        <w:spacing w:line="360" w:lineRule="auto"/>
        <w:rPr>
          <w:rFonts w:cs="Arial"/>
          <w:szCs w:val="24"/>
          <w:lang w:val="en-US"/>
        </w:rPr>
      </w:pPr>
      <w:r>
        <w:rPr>
          <w:rFonts w:cs="Arial"/>
          <w:szCs w:val="24"/>
          <w:lang w:val="en-US"/>
        </w:rPr>
        <w:t xml:space="preserve">Key </w:t>
      </w:r>
      <w:r w:rsidR="002123C1" w:rsidRPr="00C33BFB">
        <w:rPr>
          <w:rFonts w:cs="Arial"/>
          <w:szCs w:val="24"/>
          <w:lang w:val="en-US"/>
        </w:rPr>
        <w:t>HPTC</w:t>
      </w:r>
      <w:r>
        <w:rPr>
          <w:rFonts w:cs="Arial"/>
          <w:szCs w:val="24"/>
          <w:lang w:val="en-US"/>
        </w:rPr>
        <w:t xml:space="preserve"> advantages</w:t>
      </w:r>
      <w:r w:rsidR="002123C1" w:rsidRPr="00C33BFB">
        <w:rPr>
          <w:rFonts w:cs="Arial"/>
          <w:szCs w:val="24"/>
          <w:lang w:val="en-US"/>
        </w:rPr>
        <w:t xml:space="preserve">: Previous solutions for transformer connection </w:t>
      </w:r>
      <w:r>
        <w:rPr>
          <w:rFonts w:cs="Arial"/>
          <w:szCs w:val="24"/>
          <w:lang w:val="en-US"/>
        </w:rPr>
        <w:t xml:space="preserve">involve </w:t>
      </w:r>
      <w:r w:rsidR="002123C1" w:rsidRPr="00C33BFB">
        <w:rPr>
          <w:rFonts w:cs="Arial"/>
          <w:szCs w:val="24"/>
          <w:lang w:val="en-US"/>
        </w:rPr>
        <w:t xml:space="preserve">plastic outer casings, which can lead to low durability under the </w:t>
      </w:r>
      <w:r>
        <w:rPr>
          <w:rFonts w:cs="Arial"/>
          <w:szCs w:val="24"/>
          <w:lang w:val="en-US"/>
        </w:rPr>
        <w:t xml:space="preserve">demanding and </w:t>
      </w:r>
      <w:r w:rsidR="002123C1" w:rsidRPr="00C33BFB">
        <w:rPr>
          <w:rFonts w:cs="Arial"/>
          <w:szCs w:val="24"/>
          <w:lang w:val="en-US"/>
        </w:rPr>
        <w:t xml:space="preserve">harsh conditions on the roof of rail vehicles. The HPTC, </w:t>
      </w:r>
      <w:r>
        <w:rPr>
          <w:rFonts w:cs="Arial"/>
          <w:szCs w:val="24"/>
          <w:lang w:val="en-US"/>
        </w:rPr>
        <w:t xml:space="preserve">however, </w:t>
      </w:r>
      <w:r w:rsidR="002123C1" w:rsidRPr="00C33BFB">
        <w:rPr>
          <w:rFonts w:cs="Arial"/>
          <w:szCs w:val="24"/>
          <w:lang w:val="en-US"/>
        </w:rPr>
        <w:t>offers a completely pluggable solution enabl</w:t>
      </w:r>
      <w:r>
        <w:rPr>
          <w:rFonts w:cs="Arial"/>
          <w:szCs w:val="24"/>
          <w:lang w:val="en-US"/>
        </w:rPr>
        <w:t xml:space="preserve">ing </w:t>
      </w:r>
      <w:r w:rsidR="002123C1" w:rsidRPr="00C33BFB">
        <w:rPr>
          <w:rFonts w:cs="Arial"/>
          <w:szCs w:val="24"/>
          <w:lang w:val="en-US"/>
        </w:rPr>
        <w:t xml:space="preserve">significantly longer service lives compared to plastic housings. This is </w:t>
      </w:r>
      <w:r>
        <w:rPr>
          <w:rFonts w:cs="Arial"/>
          <w:szCs w:val="24"/>
          <w:lang w:val="en-US"/>
        </w:rPr>
        <w:t xml:space="preserve">also </w:t>
      </w:r>
      <w:r w:rsidR="002123C1" w:rsidRPr="00C33BFB">
        <w:rPr>
          <w:rFonts w:cs="Arial"/>
          <w:szCs w:val="24"/>
          <w:lang w:val="en-US"/>
        </w:rPr>
        <w:t xml:space="preserve">due to the robust housing, which is based on the proven HARTING </w:t>
      </w:r>
      <w:r w:rsidR="002123C1" w:rsidRPr="00C33BFB">
        <w:rPr>
          <w:rFonts w:cs="Arial"/>
          <w:i/>
          <w:iCs/>
          <w:szCs w:val="24"/>
          <w:lang w:val="en-US"/>
        </w:rPr>
        <w:t xml:space="preserve">High Pressure Railway </w:t>
      </w:r>
      <w:r w:rsidR="002123C1" w:rsidRPr="00C33BFB">
        <w:rPr>
          <w:rFonts w:cs="Arial"/>
          <w:szCs w:val="24"/>
          <w:lang w:val="en-US"/>
        </w:rPr>
        <w:t>(HPR) standard.</w:t>
      </w:r>
    </w:p>
    <w:p w14:paraId="4B5647A8" w14:textId="77777777" w:rsidR="002123C1" w:rsidRPr="00C33BFB" w:rsidRDefault="002123C1" w:rsidP="001F671D">
      <w:pPr>
        <w:spacing w:line="360" w:lineRule="auto"/>
        <w:rPr>
          <w:rFonts w:cs="Arial"/>
          <w:b/>
          <w:bCs/>
          <w:szCs w:val="24"/>
          <w:lang w:val="en-US"/>
        </w:rPr>
      </w:pPr>
      <w:r w:rsidRPr="00C33BFB">
        <w:rPr>
          <w:rFonts w:cs="Arial"/>
          <w:b/>
          <w:bCs/>
          <w:szCs w:val="24"/>
          <w:lang w:val="en-US"/>
        </w:rPr>
        <w:t>New housing for jumper cables</w:t>
      </w:r>
    </w:p>
    <w:p w14:paraId="4807DD42" w14:textId="6E997ECB" w:rsidR="002123C1" w:rsidRPr="00C33BFB" w:rsidRDefault="002123C1" w:rsidP="001F671D">
      <w:pPr>
        <w:spacing w:line="360" w:lineRule="auto"/>
        <w:rPr>
          <w:rFonts w:cs="Arial"/>
          <w:szCs w:val="24"/>
          <w:lang w:val="en-US"/>
        </w:rPr>
      </w:pPr>
      <w:r w:rsidRPr="00C33BFB">
        <w:rPr>
          <w:rFonts w:cs="Arial"/>
          <w:szCs w:val="24"/>
          <w:lang w:val="en-US"/>
        </w:rPr>
        <w:t>The Han</w:t>
      </w:r>
      <w:r w:rsidRPr="005B753C">
        <w:rPr>
          <w:rFonts w:cs="Arial"/>
          <w:szCs w:val="24"/>
          <w:vertAlign w:val="superscript"/>
          <w:lang w:val="en-US"/>
        </w:rPr>
        <w:t>®</w:t>
      </w:r>
      <w:r w:rsidRPr="00C33BFB">
        <w:rPr>
          <w:rFonts w:cs="Arial"/>
          <w:szCs w:val="24"/>
          <w:lang w:val="en-US"/>
        </w:rPr>
        <w:t xml:space="preserve"> HPR VarioShell was speci</w:t>
      </w:r>
      <w:r w:rsidR="00C33BFB">
        <w:rPr>
          <w:rFonts w:cs="Arial"/>
          <w:szCs w:val="24"/>
          <w:lang w:val="en-US"/>
        </w:rPr>
        <w:t xml:space="preserve">fically </w:t>
      </w:r>
      <w:r w:rsidRPr="00C33BFB">
        <w:rPr>
          <w:rFonts w:cs="Arial"/>
          <w:szCs w:val="24"/>
          <w:lang w:val="en-US"/>
        </w:rPr>
        <w:t xml:space="preserve">developed for jumper applications. The two-part enclosure achieves protection class IP69K </w:t>
      </w:r>
      <w:r w:rsidR="00C33BFB">
        <w:rPr>
          <w:rFonts w:cs="Arial"/>
          <w:szCs w:val="24"/>
          <w:lang w:val="en-US"/>
        </w:rPr>
        <w:t xml:space="preserve">by </w:t>
      </w:r>
      <w:r w:rsidRPr="00C33BFB">
        <w:rPr>
          <w:rFonts w:cs="Arial"/>
          <w:szCs w:val="24"/>
          <w:lang w:val="en-US"/>
        </w:rPr>
        <w:t xml:space="preserve">using a counterpressure frame, </w:t>
      </w:r>
      <w:r w:rsidR="00C33BFB">
        <w:rPr>
          <w:rFonts w:cs="Arial"/>
          <w:szCs w:val="24"/>
          <w:lang w:val="en-US"/>
        </w:rPr>
        <w:t xml:space="preserve">in connection with </w:t>
      </w:r>
      <w:r w:rsidRPr="00C33BFB">
        <w:rPr>
          <w:rFonts w:cs="Arial"/>
          <w:szCs w:val="24"/>
          <w:lang w:val="en-US"/>
        </w:rPr>
        <w:t xml:space="preserve">a circumferential internal seal. The enclosure cover is removable, allowing efficient assembly from both inside and outside the </w:t>
      </w:r>
      <w:r w:rsidR="00B10F98">
        <w:rPr>
          <w:rFonts w:cs="Arial"/>
          <w:szCs w:val="24"/>
          <w:lang w:val="en-US"/>
        </w:rPr>
        <w:t>waggon</w:t>
      </w:r>
      <w:r w:rsidRPr="00C33BFB">
        <w:rPr>
          <w:rFonts w:cs="Arial"/>
          <w:szCs w:val="24"/>
          <w:lang w:val="en-US"/>
        </w:rPr>
        <w:t xml:space="preserve">. Plug-in connections for the wagon transition for trains are </w:t>
      </w:r>
      <w:r w:rsidR="00B10F98">
        <w:rPr>
          <w:rFonts w:cs="Arial"/>
          <w:szCs w:val="24"/>
          <w:lang w:val="en-US"/>
        </w:rPr>
        <w:t xml:space="preserve">an </w:t>
      </w:r>
      <w:r w:rsidRPr="00C33BFB">
        <w:rPr>
          <w:rFonts w:cs="Arial"/>
          <w:szCs w:val="24"/>
          <w:lang w:val="en-US"/>
        </w:rPr>
        <w:t xml:space="preserve">appreciated </w:t>
      </w:r>
      <w:r w:rsidR="00B10F98">
        <w:rPr>
          <w:rFonts w:cs="Arial"/>
          <w:szCs w:val="24"/>
          <w:lang w:val="en-US"/>
        </w:rPr>
        <w:t xml:space="preserve">feature </w:t>
      </w:r>
      <w:r w:rsidRPr="00C33BFB">
        <w:rPr>
          <w:rFonts w:cs="Arial"/>
          <w:szCs w:val="24"/>
          <w:lang w:val="en-US"/>
        </w:rPr>
        <w:t xml:space="preserve">in the housing and at the same time are easier to access. </w:t>
      </w:r>
      <w:r w:rsidR="00B10F98">
        <w:rPr>
          <w:rFonts w:cs="Arial"/>
          <w:szCs w:val="24"/>
          <w:lang w:val="en-US"/>
        </w:rPr>
        <w:t xml:space="preserve">Input and efforts involved in </w:t>
      </w:r>
      <w:r w:rsidRPr="00C33BFB">
        <w:rPr>
          <w:rFonts w:cs="Arial"/>
          <w:szCs w:val="24"/>
          <w:lang w:val="en-US"/>
        </w:rPr>
        <w:t xml:space="preserve">operation, service and maintenance </w:t>
      </w:r>
      <w:r w:rsidR="00B10F98">
        <w:rPr>
          <w:rFonts w:cs="Arial"/>
          <w:szCs w:val="24"/>
          <w:lang w:val="en-US"/>
        </w:rPr>
        <w:t xml:space="preserve">are </w:t>
      </w:r>
      <w:r w:rsidRPr="00C33BFB">
        <w:rPr>
          <w:rFonts w:cs="Arial"/>
          <w:szCs w:val="24"/>
          <w:lang w:val="en-US"/>
        </w:rPr>
        <w:t xml:space="preserve">significantly reduced. In the event of a fault, </w:t>
      </w:r>
      <w:r w:rsidR="00B10F98">
        <w:rPr>
          <w:rFonts w:cs="Arial"/>
          <w:szCs w:val="24"/>
          <w:lang w:val="en-US"/>
        </w:rPr>
        <w:t xml:space="preserve">it is sufficient to open the housing cover, meaning that it is not necessary to interupt </w:t>
      </w:r>
      <w:r w:rsidRPr="00C33BFB">
        <w:rPr>
          <w:rFonts w:cs="Arial"/>
          <w:szCs w:val="24"/>
          <w:lang w:val="en-US"/>
        </w:rPr>
        <w:t>all connections.</w:t>
      </w:r>
    </w:p>
    <w:p w14:paraId="1419D759" w14:textId="289346EA" w:rsidR="002123C1" w:rsidRPr="00C33BFB" w:rsidRDefault="002123C1" w:rsidP="001F671D">
      <w:pPr>
        <w:spacing w:line="360" w:lineRule="auto"/>
        <w:rPr>
          <w:rFonts w:cs="Arial"/>
          <w:b/>
          <w:bCs/>
          <w:szCs w:val="24"/>
          <w:lang w:val="en-US"/>
        </w:rPr>
      </w:pPr>
      <w:r w:rsidRPr="00C33BFB">
        <w:rPr>
          <w:rFonts w:cs="Arial"/>
          <w:b/>
          <w:bCs/>
          <w:szCs w:val="24"/>
          <w:lang w:val="en-US"/>
        </w:rPr>
        <w:t>Han</w:t>
      </w:r>
      <w:r w:rsidRPr="005B753C">
        <w:rPr>
          <w:rFonts w:cs="Arial"/>
          <w:b/>
          <w:bCs/>
          <w:szCs w:val="24"/>
          <w:vertAlign w:val="superscript"/>
          <w:lang w:val="en-US"/>
        </w:rPr>
        <w:t xml:space="preserve">® </w:t>
      </w:r>
      <w:r w:rsidRPr="00C33BFB">
        <w:rPr>
          <w:rFonts w:cs="Arial"/>
          <w:b/>
          <w:bCs/>
          <w:szCs w:val="24"/>
          <w:lang w:val="en-US"/>
        </w:rPr>
        <w:t>HPR TPL: Simpler power distribution in underfloor areas</w:t>
      </w:r>
    </w:p>
    <w:p w14:paraId="69D3BFA2" w14:textId="51F24AB3" w:rsidR="001455AA" w:rsidRDefault="00B10F98" w:rsidP="001F671D">
      <w:pPr>
        <w:spacing w:line="360" w:lineRule="auto"/>
        <w:rPr>
          <w:rFonts w:cs="Arial"/>
          <w:szCs w:val="24"/>
          <w:lang w:val="en-US"/>
        </w:rPr>
      </w:pPr>
      <w:r>
        <w:rPr>
          <w:rFonts w:cs="Arial"/>
          <w:szCs w:val="24"/>
          <w:lang w:val="en-US"/>
        </w:rPr>
        <w:t xml:space="preserve">To date, power distribution systems in </w:t>
      </w:r>
      <w:r w:rsidR="002123C1" w:rsidRPr="00C33BFB">
        <w:rPr>
          <w:rFonts w:cs="Arial"/>
          <w:szCs w:val="24"/>
          <w:lang w:val="en-US"/>
        </w:rPr>
        <w:t xml:space="preserve">underfloor areas have relied on UIC 552. The different interfaces of these systems each </w:t>
      </w:r>
      <w:r>
        <w:rPr>
          <w:rFonts w:cs="Arial"/>
          <w:szCs w:val="24"/>
          <w:lang w:val="en-US"/>
        </w:rPr>
        <w:t>necessitate</w:t>
      </w:r>
      <w:r w:rsidR="002123C1" w:rsidRPr="00C33BFB">
        <w:rPr>
          <w:rFonts w:cs="Arial"/>
          <w:szCs w:val="24"/>
          <w:lang w:val="en-US"/>
        </w:rPr>
        <w:t xml:space="preserve"> their own installation technology and must be stocked separately. </w:t>
      </w:r>
      <w:r w:rsidR="00D26EE2">
        <w:rPr>
          <w:rFonts w:cs="Arial"/>
          <w:szCs w:val="24"/>
          <w:lang w:val="en-US"/>
        </w:rPr>
        <w:t xml:space="preserve">Thanks to the </w:t>
      </w:r>
      <w:r w:rsidR="002123C1" w:rsidRPr="00C33BFB">
        <w:rPr>
          <w:rFonts w:cs="Arial"/>
          <w:szCs w:val="24"/>
          <w:lang w:val="en-US"/>
        </w:rPr>
        <w:t>Han</w:t>
      </w:r>
      <w:r w:rsidR="002123C1" w:rsidRPr="005B753C">
        <w:rPr>
          <w:rFonts w:cs="Arial"/>
          <w:szCs w:val="24"/>
          <w:vertAlign w:val="superscript"/>
          <w:lang w:val="en-US"/>
        </w:rPr>
        <w:t>®</w:t>
      </w:r>
      <w:r w:rsidR="002123C1" w:rsidRPr="00C33BFB">
        <w:rPr>
          <w:rFonts w:cs="Arial"/>
          <w:szCs w:val="24"/>
          <w:lang w:val="en-US"/>
        </w:rPr>
        <w:t xml:space="preserve"> HPR Train Power Line (TPL)</w:t>
      </w:r>
      <w:r w:rsidR="00D26EE2">
        <w:rPr>
          <w:rFonts w:cs="Arial"/>
          <w:szCs w:val="24"/>
          <w:lang w:val="en-US"/>
        </w:rPr>
        <w:t xml:space="preserve"> all this </w:t>
      </w:r>
      <w:r w:rsidR="00D26EE2">
        <w:rPr>
          <w:rFonts w:cs="Arial"/>
          <w:szCs w:val="24"/>
          <w:lang w:val="en-US"/>
        </w:rPr>
        <w:lastRenderedPageBreak/>
        <w:t xml:space="preserve">becomes a great deal </w:t>
      </w:r>
      <w:r w:rsidR="002123C1" w:rsidRPr="00C33BFB">
        <w:rPr>
          <w:rFonts w:cs="Arial"/>
          <w:szCs w:val="24"/>
          <w:lang w:val="en-US"/>
        </w:rPr>
        <w:t xml:space="preserve">easier: </w:t>
      </w:r>
      <w:r w:rsidR="00D26EE2">
        <w:rPr>
          <w:rFonts w:cs="Arial"/>
          <w:szCs w:val="24"/>
          <w:lang w:val="en-US"/>
        </w:rPr>
        <w:t xml:space="preserve">now, the </w:t>
      </w:r>
      <w:r w:rsidR="002123C1" w:rsidRPr="00C33BFB">
        <w:rPr>
          <w:rFonts w:cs="Arial"/>
          <w:szCs w:val="24"/>
          <w:lang w:val="en-US"/>
        </w:rPr>
        <w:t xml:space="preserve">is only one completely pre-assembled Y-distributor as standard interface as well as single poles for the pluggable connection of the cables. </w:t>
      </w:r>
      <w:r w:rsidR="00D26EE2">
        <w:rPr>
          <w:rFonts w:cs="Arial"/>
          <w:szCs w:val="24"/>
          <w:lang w:val="en-US"/>
        </w:rPr>
        <w:t xml:space="preserve">Consequently, the </w:t>
      </w:r>
      <w:r w:rsidR="002123C1" w:rsidRPr="00C33BFB">
        <w:rPr>
          <w:rFonts w:cs="Arial"/>
          <w:szCs w:val="24"/>
          <w:lang w:val="en-US"/>
        </w:rPr>
        <w:t xml:space="preserve">TPL becomes a uniform power supply across all wagons. </w:t>
      </w:r>
      <w:r w:rsidR="00D26EE2">
        <w:rPr>
          <w:rFonts w:cs="Arial"/>
          <w:szCs w:val="24"/>
          <w:lang w:val="en-US"/>
        </w:rPr>
        <w:t xml:space="preserve">What’s more, the </w:t>
      </w:r>
      <w:r w:rsidR="002123C1" w:rsidRPr="00C33BFB">
        <w:rPr>
          <w:rFonts w:cs="Arial"/>
          <w:szCs w:val="24"/>
          <w:lang w:val="en-US"/>
        </w:rPr>
        <w:t xml:space="preserve">result is also lighter than previous solutions: The difference in weight per wagon compared to previous solutions </w:t>
      </w:r>
      <w:r w:rsidR="00D26EE2">
        <w:rPr>
          <w:rFonts w:cs="Arial"/>
          <w:szCs w:val="24"/>
          <w:lang w:val="en-US"/>
        </w:rPr>
        <w:t xml:space="preserve">tips the scales at </w:t>
      </w:r>
      <w:r w:rsidR="002123C1" w:rsidRPr="00C33BFB">
        <w:rPr>
          <w:rFonts w:cs="Arial"/>
          <w:szCs w:val="24"/>
          <w:lang w:val="en-US"/>
        </w:rPr>
        <w:t>around 10 kg.</w:t>
      </w:r>
    </w:p>
    <w:p w14:paraId="29C9FE98" w14:textId="22FF2749" w:rsidR="006347E7" w:rsidRDefault="00BE1AE8" w:rsidP="00BE1AE8">
      <w:pPr>
        <w:rPr>
          <w:szCs w:val="24"/>
          <w:lang w:val="en-US"/>
        </w:rPr>
      </w:pPr>
      <w:r>
        <w:rPr>
          <w:noProof/>
        </w:rPr>
        <w:drawing>
          <wp:inline distT="0" distB="0" distL="0" distR="0" wp14:anchorId="306F82DD" wp14:editId="40FC1DD2">
            <wp:extent cx="2092325" cy="1713230"/>
            <wp:effectExtent l="0" t="0" r="3175" b="127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2325" cy="1713230"/>
                    </a:xfrm>
                    <a:prstGeom prst="rect">
                      <a:avLst/>
                    </a:prstGeom>
                    <a:noFill/>
                    <a:ln>
                      <a:noFill/>
                    </a:ln>
                  </pic:spPr>
                </pic:pic>
              </a:graphicData>
            </a:graphic>
          </wp:inline>
        </w:drawing>
      </w:r>
      <w:r>
        <w:rPr>
          <w:b/>
          <w:bCs/>
          <w:szCs w:val="24"/>
          <w:lang w:val="en-US"/>
        </w:rPr>
        <w:br/>
      </w:r>
      <w:r w:rsidRPr="00BE1AE8">
        <w:rPr>
          <w:b/>
          <w:bCs/>
          <w:szCs w:val="24"/>
          <w:lang w:val="en-US"/>
        </w:rPr>
        <w:t>Caption</w:t>
      </w:r>
      <w:r>
        <w:rPr>
          <w:szCs w:val="24"/>
          <w:lang w:val="en-US"/>
        </w:rPr>
        <w:t>:</w:t>
      </w:r>
      <w:r w:rsidR="00E85F34" w:rsidRPr="00C33BFB">
        <w:rPr>
          <w:szCs w:val="24"/>
          <w:lang w:val="en-US"/>
        </w:rPr>
        <w:t xml:space="preserve"> </w:t>
      </w:r>
      <w:r w:rsidR="00D26EE2">
        <w:rPr>
          <w:szCs w:val="24"/>
          <w:lang w:val="en-US"/>
        </w:rPr>
        <w:t xml:space="preserve">The </w:t>
      </w:r>
      <w:r w:rsidR="00E85F34" w:rsidRPr="00C33BFB">
        <w:rPr>
          <w:szCs w:val="24"/>
          <w:lang w:val="en-US"/>
        </w:rPr>
        <w:t>Han</w:t>
      </w:r>
      <w:r w:rsidR="00E85F34" w:rsidRPr="005B753C">
        <w:rPr>
          <w:szCs w:val="24"/>
          <w:vertAlign w:val="superscript"/>
          <w:lang w:val="en-US"/>
        </w:rPr>
        <w:t>®</w:t>
      </w:r>
      <w:r w:rsidR="00E85F34" w:rsidRPr="00C33BFB">
        <w:rPr>
          <w:szCs w:val="24"/>
          <w:lang w:val="en-US"/>
        </w:rPr>
        <w:t xml:space="preserve"> HPR TrainPowerLine: A uniform Y-distributor for power supply in the underfloor area of </w:t>
      </w:r>
      <w:r w:rsidR="00941709" w:rsidRPr="00C33BFB">
        <w:rPr>
          <w:szCs w:val="24"/>
          <w:lang w:val="en-US"/>
        </w:rPr>
        <w:t>rail vehicles</w:t>
      </w:r>
      <w:r>
        <w:rPr>
          <w:szCs w:val="24"/>
          <w:lang w:val="en-US"/>
        </w:rPr>
        <w:t>.</w:t>
      </w:r>
    </w:p>
    <w:p w14:paraId="16E12A91" w14:textId="27F3544E" w:rsidR="00941709" w:rsidRPr="00C33BFB" w:rsidRDefault="009D3919" w:rsidP="009D3919">
      <w:pPr>
        <w:rPr>
          <w:szCs w:val="24"/>
          <w:lang w:val="en-US"/>
        </w:rPr>
      </w:pPr>
      <w:r>
        <w:rPr>
          <w:noProof/>
        </w:rPr>
        <w:drawing>
          <wp:inline distT="0" distB="0" distL="0" distR="0" wp14:anchorId="195E818B" wp14:editId="599C638C">
            <wp:extent cx="1838960" cy="1713230"/>
            <wp:effectExtent l="0" t="0" r="8890" b="1270"/>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960" cy="1713230"/>
                    </a:xfrm>
                    <a:prstGeom prst="rect">
                      <a:avLst/>
                    </a:prstGeom>
                    <a:noFill/>
                    <a:ln>
                      <a:noFill/>
                    </a:ln>
                  </pic:spPr>
                </pic:pic>
              </a:graphicData>
            </a:graphic>
          </wp:inline>
        </w:drawing>
      </w:r>
      <w:r>
        <w:rPr>
          <w:b/>
          <w:bCs/>
          <w:szCs w:val="24"/>
          <w:lang w:val="en-US"/>
        </w:rPr>
        <w:br/>
      </w:r>
      <w:r w:rsidR="00BE1AE8" w:rsidRPr="00BE1AE8">
        <w:rPr>
          <w:b/>
          <w:bCs/>
          <w:szCs w:val="24"/>
          <w:lang w:val="en-US"/>
        </w:rPr>
        <w:t>Caption:</w:t>
      </w:r>
      <w:r w:rsidR="00BE1AE8">
        <w:rPr>
          <w:szCs w:val="24"/>
          <w:lang w:val="en-US"/>
        </w:rPr>
        <w:t xml:space="preserve"> </w:t>
      </w:r>
      <w:r w:rsidR="00941709" w:rsidRPr="00C33BFB">
        <w:rPr>
          <w:szCs w:val="24"/>
          <w:lang w:val="en-US"/>
        </w:rPr>
        <w:t xml:space="preserve">Highest protection class, </w:t>
      </w:r>
      <w:r w:rsidR="00D26EE2">
        <w:rPr>
          <w:szCs w:val="24"/>
          <w:lang w:val="en-US"/>
        </w:rPr>
        <w:t xml:space="preserve">convenient </w:t>
      </w:r>
      <w:r w:rsidR="00941709" w:rsidRPr="00C33BFB">
        <w:rPr>
          <w:szCs w:val="24"/>
          <w:lang w:val="en-US"/>
        </w:rPr>
        <w:t xml:space="preserve">service </w:t>
      </w:r>
      <w:r w:rsidR="00F16815" w:rsidRPr="00C33BFB">
        <w:rPr>
          <w:szCs w:val="24"/>
          <w:lang w:val="en-US"/>
        </w:rPr>
        <w:t xml:space="preserve">- </w:t>
      </w:r>
      <w:r w:rsidR="00941709" w:rsidRPr="00C33BFB">
        <w:rPr>
          <w:szCs w:val="24"/>
          <w:lang w:val="en-US"/>
        </w:rPr>
        <w:t>the Han</w:t>
      </w:r>
      <w:r w:rsidR="00941709" w:rsidRPr="005B753C">
        <w:rPr>
          <w:szCs w:val="24"/>
          <w:vertAlign w:val="superscript"/>
          <w:lang w:val="en-US"/>
        </w:rPr>
        <w:t>®</w:t>
      </w:r>
      <w:r w:rsidR="00941709" w:rsidRPr="00C33BFB">
        <w:rPr>
          <w:szCs w:val="24"/>
          <w:lang w:val="en-US"/>
        </w:rPr>
        <w:t xml:space="preserve"> HPR VarioShell for </w:t>
      </w:r>
      <w:r w:rsidR="00F16815" w:rsidRPr="00C33BFB">
        <w:rPr>
          <w:szCs w:val="24"/>
          <w:lang w:val="en-US"/>
        </w:rPr>
        <w:t>jumper cable interfaces on trains</w:t>
      </w:r>
      <w:r w:rsidR="00BE1AE8">
        <w:rPr>
          <w:szCs w:val="24"/>
          <w:lang w:val="en-US"/>
        </w:rPr>
        <w:t>.</w:t>
      </w:r>
    </w:p>
    <w:p w14:paraId="4D955100" w14:textId="77777777" w:rsidR="00E85F34" w:rsidRPr="00C33BFB" w:rsidRDefault="00E85F34" w:rsidP="003E3AB4">
      <w:pPr>
        <w:pStyle w:val="KeinLeerraum"/>
        <w:spacing w:line="276" w:lineRule="auto"/>
        <w:rPr>
          <w:sz w:val="24"/>
          <w:szCs w:val="24"/>
          <w:lang w:val="en-US"/>
        </w:rPr>
      </w:pPr>
    </w:p>
    <w:p w14:paraId="5FAC36A3" w14:textId="77777777" w:rsidR="008942D0" w:rsidRDefault="008942D0" w:rsidP="008942D0">
      <w:pPr>
        <w:spacing w:line="240" w:lineRule="auto"/>
        <w:rPr>
          <w:rFonts w:cs="Arial"/>
          <w:b/>
          <w:szCs w:val="24"/>
          <w:lang w:val="en-GB" w:eastAsia="de-DE"/>
        </w:rPr>
      </w:pPr>
      <w:r>
        <w:rPr>
          <w:b/>
          <w:lang w:val="en-US"/>
        </w:rPr>
        <w:t xml:space="preserve">Further information: </w:t>
      </w:r>
      <w:r>
        <w:rPr>
          <w:b/>
          <w:lang w:val="en-US"/>
        </w:rPr>
        <w:br/>
      </w:r>
      <w:hyperlink r:id="rId10" w:history="1">
        <w:r>
          <w:rPr>
            <w:rStyle w:val="Hyperlink"/>
            <w:lang w:val="en-US"/>
          </w:rPr>
          <w:t>www.HARTING.com/DE/en-gb/news/press-release</w:t>
        </w:r>
      </w:hyperlink>
    </w:p>
    <w:p w14:paraId="5DB71592" w14:textId="77777777" w:rsidR="005B753C" w:rsidRDefault="005B753C" w:rsidP="005065C9">
      <w:pPr>
        <w:rPr>
          <w:b/>
          <w:lang w:val="en-US"/>
        </w:rPr>
      </w:pPr>
    </w:p>
    <w:p w14:paraId="0A8E628F" w14:textId="77777777" w:rsidR="005B753C" w:rsidRDefault="005B753C" w:rsidP="005065C9">
      <w:pPr>
        <w:rPr>
          <w:b/>
          <w:lang w:val="en-US"/>
        </w:rPr>
      </w:pPr>
    </w:p>
    <w:p w14:paraId="0C99C144" w14:textId="77777777" w:rsidR="005B753C" w:rsidRDefault="005B753C" w:rsidP="005065C9">
      <w:pPr>
        <w:rPr>
          <w:b/>
          <w:lang w:val="en-US"/>
        </w:rPr>
      </w:pPr>
    </w:p>
    <w:p w14:paraId="40216B7F" w14:textId="77777777" w:rsidR="005B753C" w:rsidRDefault="005B753C" w:rsidP="005065C9">
      <w:pPr>
        <w:rPr>
          <w:b/>
          <w:lang w:val="en-US"/>
        </w:rPr>
      </w:pPr>
    </w:p>
    <w:p w14:paraId="092A5956" w14:textId="77777777" w:rsidR="005B753C" w:rsidRDefault="005B753C" w:rsidP="005065C9">
      <w:pPr>
        <w:rPr>
          <w:b/>
          <w:lang w:val="en-US"/>
        </w:rPr>
      </w:pPr>
    </w:p>
    <w:p w14:paraId="3225132C" w14:textId="66143E2E" w:rsidR="005065C9" w:rsidRPr="00C33BFB" w:rsidRDefault="005065C9" w:rsidP="005065C9">
      <w:pPr>
        <w:rPr>
          <w:lang w:val="en-US"/>
        </w:rPr>
      </w:pPr>
      <w:r w:rsidRPr="00C33BFB">
        <w:rPr>
          <w:b/>
          <w:lang w:val="en-US"/>
        </w:rPr>
        <w:lastRenderedPageBreak/>
        <w:t>About HARTING:</w:t>
      </w:r>
    </w:p>
    <w:p w14:paraId="535D4258" w14:textId="77777777" w:rsidR="005065C9" w:rsidRPr="00C33BFB" w:rsidRDefault="005065C9" w:rsidP="005065C9">
      <w:pPr>
        <w:spacing w:after="0" w:line="360" w:lineRule="auto"/>
        <w:rPr>
          <w:lang w:val="en-US"/>
        </w:rPr>
      </w:pPr>
      <w:r w:rsidRPr="00C33BFB">
        <w:rPr>
          <w:lang w:val="en-US"/>
        </w:rPr>
        <w:t xml:space="preserve">The HARTING Technology Group is a leading global supplier of industrial connectivity technology for the three lifelines "Data", "Signal" and "Power" with </w:t>
      </w:r>
      <w:r w:rsidRPr="00C33BFB">
        <w:rPr>
          <w:lang w:val="en-US"/>
        </w:rPr>
        <w:br/>
        <w:t>14 production facilities and subsidiaries in 44 countries. The company also manufactures checkout zones for the retail trade, electromagnetic actuators for automotive and industrial series production, charging equipment for electric vehicles, as well as hardware and software for customers and applications in automation technology, mechanical and plant engineering, robotics and the transportation sector, among others. Around 5,500 employees generated a turnover of 759 million euros in 2019/20.</w:t>
      </w:r>
    </w:p>
    <w:p w14:paraId="3BC70F1F" w14:textId="5F7D7339" w:rsidR="005065C9" w:rsidRDefault="005065C9" w:rsidP="005065C9">
      <w:pPr>
        <w:spacing w:afterLines="200" w:after="480" w:line="360" w:lineRule="auto"/>
        <w:contextualSpacing/>
        <w:rPr>
          <w:rFonts w:eastAsia="Arial Unicode MS" w:cs="Arial"/>
          <w:color w:val="000000"/>
          <w:szCs w:val="24"/>
          <w:u w:color="000000"/>
          <w:lang w:val="en-US" w:eastAsia="de-DE"/>
        </w:rPr>
      </w:pPr>
    </w:p>
    <w:p w14:paraId="13EAEECC" w14:textId="77777777" w:rsidR="00C21FA9" w:rsidRDefault="00C21FA9" w:rsidP="00C21FA9">
      <w:pPr>
        <w:spacing w:line="240" w:lineRule="auto"/>
        <w:rPr>
          <w:rFonts w:cs="Arial"/>
          <w:u w:val="single"/>
          <w:lang w:val="en-GB"/>
        </w:rPr>
      </w:pPr>
      <w:r>
        <w:rPr>
          <w:rFonts w:cs="Arial"/>
          <w:b/>
          <w:u w:val="single"/>
          <w:lang w:val="en-GB"/>
        </w:rPr>
        <w:t>Contact:</w:t>
      </w:r>
    </w:p>
    <w:p w14:paraId="36D7B7FD" w14:textId="77777777" w:rsidR="00C21FA9" w:rsidRDefault="00C21FA9" w:rsidP="00C21FA9">
      <w:pPr>
        <w:spacing w:line="240" w:lineRule="auto"/>
        <w:rPr>
          <w:rFonts w:cs="Arial"/>
          <w:lang w:val="en-GB"/>
        </w:rPr>
      </w:pPr>
      <w:r>
        <w:rPr>
          <w:rFonts w:cs="Arial"/>
          <w:lang w:val="en-GB"/>
        </w:rPr>
        <w:t>HARTING Stiftung &amp; Co. KG</w:t>
      </w:r>
      <w:r>
        <w:rPr>
          <w:rFonts w:cs="Arial"/>
          <w:lang w:val="en-GB"/>
        </w:rPr>
        <w:br/>
        <w:t>Detlef Sieverdingbeck</w:t>
      </w:r>
      <w:r>
        <w:rPr>
          <w:rFonts w:cs="Arial"/>
          <w:lang w:val="en-GB"/>
        </w:rPr>
        <w:br/>
        <w:t>General Manager</w:t>
      </w:r>
      <w:r>
        <w:rPr>
          <w:rFonts w:cs="Arial"/>
          <w:lang w:val="en-GB"/>
        </w:rPr>
        <w:br/>
      </w:r>
      <w:r>
        <w:rPr>
          <w:rFonts w:eastAsiaTheme="minorEastAsia" w:cs="Arial"/>
          <w:noProof/>
          <w:lang w:val="en-GB"/>
        </w:rPr>
        <w:t>Corporate Communication &amp; Branding (CCB)</w:t>
      </w:r>
      <w:r>
        <w:rPr>
          <w:rFonts w:eastAsiaTheme="minorEastAsia" w:cs="Arial"/>
          <w:noProof/>
          <w:lang w:val="en-GB"/>
        </w:rPr>
        <w:br/>
      </w:r>
      <w:r>
        <w:rPr>
          <w:rFonts w:cs="Arial"/>
          <w:lang w:val="en-GB"/>
        </w:rPr>
        <w:t>Marienwerderstr. 3</w:t>
      </w:r>
    </w:p>
    <w:p w14:paraId="0CBA4160" w14:textId="77777777" w:rsidR="00C21FA9" w:rsidRDefault="00C21FA9" w:rsidP="00C21FA9">
      <w:pPr>
        <w:spacing w:line="240" w:lineRule="auto"/>
        <w:rPr>
          <w:rFonts w:cs="Arial"/>
          <w:lang w:val="en-GB"/>
        </w:rPr>
      </w:pPr>
      <w:r>
        <w:rPr>
          <w:rFonts w:cs="Arial"/>
          <w:lang w:val="en-GB"/>
        </w:rPr>
        <w:t>32339 Espelkamp</w:t>
      </w:r>
    </w:p>
    <w:p w14:paraId="79440BCB" w14:textId="385B125A" w:rsidR="00C21FA9" w:rsidRDefault="00C21FA9" w:rsidP="00C21FA9">
      <w:pPr>
        <w:spacing w:line="240" w:lineRule="auto"/>
        <w:rPr>
          <w:lang w:val="en-GB"/>
        </w:rPr>
      </w:pPr>
      <w:r>
        <w:rPr>
          <w:rFonts w:cs="Arial"/>
          <w:lang w:val="en-GB"/>
        </w:rPr>
        <w:t>Tel.: 05772 47-244</w:t>
      </w:r>
      <w:r>
        <w:rPr>
          <w:rFonts w:cs="Arial"/>
          <w:lang w:val="en-GB"/>
        </w:rPr>
        <w:br/>
        <w:t>Fax: 05772 47-400</w:t>
      </w:r>
      <w:r>
        <w:rPr>
          <w:rFonts w:cs="Arial"/>
          <w:lang w:val="en-GB"/>
        </w:rPr>
        <w:br/>
      </w:r>
      <w:hyperlink r:id="rId11" w:history="1">
        <w:r>
          <w:rPr>
            <w:rStyle w:val="Hyperlink"/>
            <w:rFonts w:cs="Arial"/>
            <w:lang w:val="en-GB"/>
          </w:rPr>
          <w:t>Detlef.Sieverdingbeck@HARTING.com</w:t>
        </w:r>
      </w:hyperlink>
      <w:r>
        <w:rPr>
          <w:lang w:val="en-GB"/>
        </w:rPr>
        <w:br/>
      </w:r>
      <w:r>
        <w:rPr>
          <w:rFonts w:cs="Arial"/>
          <w:lang w:val="en-GB"/>
        </w:rPr>
        <w:t xml:space="preserve">More information at: </w:t>
      </w:r>
      <w:hyperlink r:id="rId12" w:history="1">
        <w:r>
          <w:rPr>
            <w:rStyle w:val="Hyperlink"/>
            <w:rFonts w:cs="Arial"/>
            <w:lang w:val="en-GB"/>
          </w:rPr>
          <w:t>www.</w:t>
        </w:r>
        <w:r>
          <w:rPr>
            <w:rStyle w:val="Hyperlink"/>
            <w:lang w:val="en-GB"/>
          </w:rPr>
          <w:t>HARTING.com</w:t>
        </w:r>
      </w:hyperlink>
      <w:r>
        <w:rPr>
          <w:lang w:val="en-GB"/>
        </w:rPr>
        <w:t xml:space="preserve"> </w:t>
      </w:r>
    </w:p>
    <w:p w14:paraId="6ABA294C" w14:textId="77777777" w:rsidR="00C21FA9" w:rsidRPr="00C21FA9" w:rsidRDefault="00C21FA9" w:rsidP="005065C9">
      <w:pPr>
        <w:spacing w:afterLines="200" w:after="480" w:line="360" w:lineRule="auto"/>
        <w:contextualSpacing/>
        <w:rPr>
          <w:rFonts w:eastAsia="Arial Unicode MS" w:cs="Arial"/>
          <w:color w:val="000000"/>
          <w:szCs w:val="24"/>
          <w:u w:color="000000"/>
          <w:lang w:val="en-GB" w:eastAsia="de-DE"/>
        </w:rPr>
      </w:pPr>
    </w:p>
    <w:sectPr w:rsidR="00C21FA9" w:rsidRPr="00C21FA9" w:rsidSect="002C38B2">
      <w:headerReference w:type="even" r:id="rId13"/>
      <w:headerReference w:type="default" r:id="rId14"/>
      <w:footerReference w:type="even" r:id="rId15"/>
      <w:footerReference w:type="default" r:id="rId16"/>
      <w:headerReference w:type="first" r:id="rId17"/>
      <w:footerReference w:type="first" r:id="rId18"/>
      <w:pgSz w:w="11906" w:h="16838" w:code="9"/>
      <w:pgMar w:top="2658" w:right="964" w:bottom="1134" w:left="1361"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C032C" w14:textId="77777777" w:rsidR="008B69EF" w:rsidRDefault="008B69EF" w:rsidP="001A06E0">
      <w:pPr>
        <w:spacing w:after="0" w:line="240" w:lineRule="auto"/>
      </w:pPr>
      <w:r>
        <w:separator/>
      </w:r>
    </w:p>
  </w:endnote>
  <w:endnote w:type="continuationSeparator" w:id="0">
    <w:p w14:paraId="088B0D65" w14:textId="77777777" w:rsidR="008B69EF" w:rsidRDefault="008B69EF" w:rsidP="001A0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2E60E" w14:textId="77777777" w:rsidR="005065C9" w:rsidRDefault="005065C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2FB04" w14:textId="77777777" w:rsidR="005065C9" w:rsidRDefault="005065C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175C" w14:textId="77777777" w:rsidR="005065C9" w:rsidRDefault="005065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248F9" w14:textId="77777777" w:rsidR="008B69EF" w:rsidRDefault="008B69EF" w:rsidP="001A06E0">
      <w:pPr>
        <w:spacing w:after="0" w:line="240" w:lineRule="auto"/>
      </w:pPr>
      <w:r>
        <w:separator/>
      </w:r>
    </w:p>
  </w:footnote>
  <w:footnote w:type="continuationSeparator" w:id="0">
    <w:p w14:paraId="5E302063" w14:textId="77777777" w:rsidR="008B69EF" w:rsidRDefault="008B69EF" w:rsidP="001A0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D5D15" w14:textId="77777777" w:rsidR="005065C9" w:rsidRDefault="005065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4DB7" w14:textId="77777777" w:rsidR="002D4B0F" w:rsidRDefault="002D4B0F" w:rsidP="00A9382E">
    <w:pPr>
      <w:pStyle w:val="Titel"/>
    </w:pPr>
    <w:r w:rsidRPr="00A9382E">
      <w:rPr>
        <w:noProof/>
        <w:lang w:eastAsia="de-DE"/>
      </w:rPr>
      <w:drawing>
        <wp:anchor distT="0" distB="0" distL="114300" distR="114300" simplePos="0" relativeHeight="251660288" behindDoc="1" locked="0" layoutInCell="1" allowOverlap="1" wp14:anchorId="249C84F6" wp14:editId="23A59002">
          <wp:simplePos x="0" y="0"/>
          <wp:positionH relativeFrom="column">
            <wp:posOffset>-853440</wp:posOffset>
          </wp:positionH>
          <wp:positionV relativeFrom="paragraph">
            <wp:posOffset>-440690</wp:posOffset>
          </wp:positionV>
          <wp:extent cx="7560000" cy="1080000"/>
          <wp:effectExtent l="0" t="0" r="3175"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_Kopf Pressebog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r w:rsidRPr="00A9382E">
      <w:t>Press release</w:t>
    </w:r>
  </w:p>
  <w:p w14:paraId="05782672" w14:textId="77FA3D83" w:rsidR="002D4B0F" w:rsidRPr="008724CD" w:rsidRDefault="009C44DB" w:rsidP="00E916B2">
    <w:pPr>
      <w:spacing w:before="960" w:after="0"/>
      <w:jc w:val="right"/>
      <w:rPr>
        <w:sz w:val="20"/>
        <w:szCs w:val="20"/>
      </w:rPr>
    </w:pPr>
    <w:r>
      <w:rPr>
        <w:sz w:val="20"/>
        <w:szCs w:val="20"/>
      </w:rPr>
      <w:t xml:space="preserve">April </w:t>
    </w:r>
    <w:r w:rsidR="002D4B0F" w:rsidRPr="008724CD">
      <w:rPr>
        <w:sz w:val="20"/>
        <w:szCs w:val="20"/>
      </w:rPr>
      <w:t xml:space="preserve">2021, Page </w:t>
    </w:r>
    <w:r w:rsidR="002D4B0F" w:rsidRPr="008724CD">
      <w:rPr>
        <w:rStyle w:val="Seitenzahl"/>
        <w:rFonts w:cs="Arial"/>
        <w:sz w:val="20"/>
        <w:szCs w:val="20"/>
      </w:rPr>
      <w:fldChar w:fldCharType="begin"/>
    </w:r>
    <w:r w:rsidR="002D4B0F" w:rsidRPr="008724CD">
      <w:rPr>
        <w:rStyle w:val="Seitenzahl"/>
        <w:rFonts w:cs="Arial"/>
        <w:sz w:val="20"/>
        <w:szCs w:val="20"/>
      </w:rPr>
      <w:instrText xml:space="preserve"> PAGE </w:instrText>
    </w:r>
    <w:r w:rsidR="002D4B0F" w:rsidRPr="008724CD">
      <w:rPr>
        <w:rStyle w:val="Seitenzahl"/>
        <w:rFonts w:cs="Arial"/>
        <w:sz w:val="20"/>
        <w:szCs w:val="20"/>
      </w:rPr>
      <w:fldChar w:fldCharType="separate"/>
    </w:r>
    <w:r w:rsidR="009F727A">
      <w:rPr>
        <w:rStyle w:val="Seitenzahl"/>
        <w:rFonts w:cs="Arial"/>
        <w:noProof/>
        <w:sz w:val="20"/>
        <w:szCs w:val="20"/>
      </w:rPr>
      <w:t xml:space="preserve">2 </w:t>
    </w:r>
    <w:r w:rsidR="002D4B0F" w:rsidRPr="008724CD">
      <w:rPr>
        <w:rStyle w:val="Seitenzahl"/>
        <w:rFonts w:cs="Arial"/>
        <w:sz w:val="20"/>
        <w:szCs w:val="20"/>
      </w:rPr>
      <w:fldChar w:fldCharType="end"/>
    </w:r>
    <w:r w:rsidR="002D4B0F">
      <w:rPr>
        <w:rStyle w:val="Seitenzahl"/>
        <w:rFonts w:cs="Arial"/>
        <w:szCs w:val="20"/>
      </w:rPr>
      <w:t xml:space="preserve">/ </w:t>
    </w:r>
    <w:r w:rsidR="002D4B0F" w:rsidRPr="008724CD">
      <w:rPr>
        <w:rStyle w:val="Seitenzahl"/>
        <w:rFonts w:cs="Arial"/>
        <w:sz w:val="20"/>
        <w:szCs w:val="20"/>
      </w:rPr>
      <w:fldChar w:fldCharType="begin"/>
    </w:r>
    <w:r w:rsidR="002D4B0F" w:rsidRPr="008724CD">
      <w:rPr>
        <w:rStyle w:val="Seitenzahl"/>
        <w:rFonts w:cs="Arial"/>
        <w:sz w:val="20"/>
        <w:szCs w:val="20"/>
      </w:rPr>
      <w:instrText xml:space="preserve"> NUMPAGES </w:instrText>
    </w:r>
    <w:r w:rsidR="002D4B0F" w:rsidRPr="008724CD">
      <w:rPr>
        <w:rStyle w:val="Seitenzahl"/>
        <w:rFonts w:cs="Arial"/>
        <w:sz w:val="20"/>
        <w:szCs w:val="20"/>
      </w:rPr>
      <w:fldChar w:fldCharType="separate"/>
    </w:r>
    <w:r w:rsidR="009F727A">
      <w:rPr>
        <w:rStyle w:val="Seitenzahl"/>
        <w:rFonts w:cs="Arial"/>
        <w:noProof/>
        <w:sz w:val="20"/>
        <w:szCs w:val="20"/>
      </w:rPr>
      <w:t>2</w:t>
    </w:r>
    <w:r w:rsidR="002D4B0F" w:rsidRPr="008724CD">
      <w:rPr>
        <w:rStyle w:val="Seitenzahl"/>
        <w:rFonts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5ADD5" w14:textId="77777777" w:rsidR="005065C9" w:rsidRDefault="005065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36428"/>
    <w:multiLevelType w:val="hybridMultilevel"/>
    <w:tmpl w:val="59DCEA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5EE5C30"/>
    <w:multiLevelType w:val="hybridMultilevel"/>
    <w:tmpl w:val="D86EA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F080460"/>
    <w:multiLevelType w:val="hybridMultilevel"/>
    <w:tmpl w:val="22545A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7EE575E2"/>
    <w:multiLevelType w:val="hybridMultilevel"/>
    <w:tmpl w:val="7BC828F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9CD"/>
    <w:rsid w:val="000009CD"/>
    <w:rsid w:val="00005DCD"/>
    <w:rsid w:val="00011E09"/>
    <w:rsid w:val="0002075C"/>
    <w:rsid w:val="00032286"/>
    <w:rsid w:val="00041E42"/>
    <w:rsid w:val="00043736"/>
    <w:rsid w:val="00051796"/>
    <w:rsid w:val="00057C84"/>
    <w:rsid w:val="00060E12"/>
    <w:rsid w:val="000638D6"/>
    <w:rsid w:val="00066487"/>
    <w:rsid w:val="00066CE9"/>
    <w:rsid w:val="00074EF3"/>
    <w:rsid w:val="00080992"/>
    <w:rsid w:val="00087C42"/>
    <w:rsid w:val="00092A8B"/>
    <w:rsid w:val="000941AB"/>
    <w:rsid w:val="00095E68"/>
    <w:rsid w:val="000A5AAB"/>
    <w:rsid w:val="000B2F09"/>
    <w:rsid w:val="000B503C"/>
    <w:rsid w:val="000C0421"/>
    <w:rsid w:val="000C0B44"/>
    <w:rsid w:val="000C493C"/>
    <w:rsid w:val="000D0E71"/>
    <w:rsid w:val="000D3604"/>
    <w:rsid w:val="000E0627"/>
    <w:rsid w:val="000E33BF"/>
    <w:rsid w:val="000F47DF"/>
    <w:rsid w:val="0010083A"/>
    <w:rsid w:val="001029FF"/>
    <w:rsid w:val="00103964"/>
    <w:rsid w:val="0010677D"/>
    <w:rsid w:val="001133CA"/>
    <w:rsid w:val="0011357B"/>
    <w:rsid w:val="00120248"/>
    <w:rsid w:val="001455AA"/>
    <w:rsid w:val="001515D9"/>
    <w:rsid w:val="001626B5"/>
    <w:rsid w:val="00171C59"/>
    <w:rsid w:val="001848F2"/>
    <w:rsid w:val="001A06E0"/>
    <w:rsid w:val="001A1AC4"/>
    <w:rsid w:val="001A5D69"/>
    <w:rsid w:val="001A675A"/>
    <w:rsid w:val="001B1FE1"/>
    <w:rsid w:val="001C002A"/>
    <w:rsid w:val="001C392A"/>
    <w:rsid w:val="001D3386"/>
    <w:rsid w:val="001D5DCC"/>
    <w:rsid w:val="001E30C2"/>
    <w:rsid w:val="001F671D"/>
    <w:rsid w:val="001F7888"/>
    <w:rsid w:val="001F7C54"/>
    <w:rsid w:val="002111DB"/>
    <w:rsid w:val="002123C1"/>
    <w:rsid w:val="0021432E"/>
    <w:rsid w:val="0022477A"/>
    <w:rsid w:val="002278FB"/>
    <w:rsid w:val="00233422"/>
    <w:rsid w:val="00247A17"/>
    <w:rsid w:val="00265BFC"/>
    <w:rsid w:val="00265C1B"/>
    <w:rsid w:val="00285D1B"/>
    <w:rsid w:val="002915D3"/>
    <w:rsid w:val="00291911"/>
    <w:rsid w:val="002A3208"/>
    <w:rsid w:val="002B316A"/>
    <w:rsid w:val="002C38B2"/>
    <w:rsid w:val="002C578E"/>
    <w:rsid w:val="002C645D"/>
    <w:rsid w:val="002C657D"/>
    <w:rsid w:val="002C6A12"/>
    <w:rsid w:val="002D0838"/>
    <w:rsid w:val="002D4B0F"/>
    <w:rsid w:val="002D714D"/>
    <w:rsid w:val="002F5307"/>
    <w:rsid w:val="00300B8D"/>
    <w:rsid w:val="0031148D"/>
    <w:rsid w:val="00313819"/>
    <w:rsid w:val="00320915"/>
    <w:rsid w:val="003278B6"/>
    <w:rsid w:val="00334162"/>
    <w:rsid w:val="003422C3"/>
    <w:rsid w:val="00342435"/>
    <w:rsid w:val="00345E9D"/>
    <w:rsid w:val="0035647F"/>
    <w:rsid w:val="00363572"/>
    <w:rsid w:val="00363621"/>
    <w:rsid w:val="0036435F"/>
    <w:rsid w:val="003656CB"/>
    <w:rsid w:val="003763FD"/>
    <w:rsid w:val="00394315"/>
    <w:rsid w:val="0039679B"/>
    <w:rsid w:val="003A04E2"/>
    <w:rsid w:val="003A05CA"/>
    <w:rsid w:val="003A12F0"/>
    <w:rsid w:val="003A7145"/>
    <w:rsid w:val="003C5F38"/>
    <w:rsid w:val="003D0A01"/>
    <w:rsid w:val="003E3053"/>
    <w:rsid w:val="003E3AB4"/>
    <w:rsid w:val="003F4FD3"/>
    <w:rsid w:val="003F500A"/>
    <w:rsid w:val="00401EA3"/>
    <w:rsid w:val="00403516"/>
    <w:rsid w:val="00414064"/>
    <w:rsid w:val="0043366B"/>
    <w:rsid w:val="004401C9"/>
    <w:rsid w:val="0044125F"/>
    <w:rsid w:val="004422F4"/>
    <w:rsid w:val="004524BB"/>
    <w:rsid w:val="0045659D"/>
    <w:rsid w:val="00463FD7"/>
    <w:rsid w:val="004641BD"/>
    <w:rsid w:val="00475235"/>
    <w:rsid w:val="004848E3"/>
    <w:rsid w:val="004953AC"/>
    <w:rsid w:val="004A12CA"/>
    <w:rsid w:val="004A58A3"/>
    <w:rsid w:val="004C4600"/>
    <w:rsid w:val="004C78FB"/>
    <w:rsid w:val="004F26B0"/>
    <w:rsid w:val="005065C9"/>
    <w:rsid w:val="00514B8B"/>
    <w:rsid w:val="00516643"/>
    <w:rsid w:val="00523FC3"/>
    <w:rsid w:val="00527457"/>
    <w:rsid w:val="0053567D"/>
    <w:rsid w:val="0054456C"/>
    <w:rsid w:val="005459AC"/>
    <w:rsid w:val="0055232C"/>
    <w:rsid w:val="005652E3"/>
    <w:rsid w:val="00571925"/>
    <w:rsid w:val="00576A13"/>
    <w:rsid w:val="005805F6"/>
    <w:rsid w:val="00586079"/>
    <w:rsid w:val="00592331"/>
    <w:rsid w:val="00595EB4"/>
    <w:rsid w:val="005A73D9"/>
    <w:rsid w:val="005A78DA"/>
    <w:rsid w:val="005B4513"/>
    <w:rsid w:val="005B753C"/>
    <w:rsid w:val="005C0ADD"/>
    <w:rsid w:val="005C289C"/>
    <w:rsid w:val="005C6EE2"/>
    <w:rsid w:val="005D4D23"/>
    <w:rsid w:val="005D65C3"/>
    <w:rsid w:val="005D666E"/>
    <w:rsid w:val="005E1DF2"/>
    <w:rsid w:val="005E490F"/>
    <w:rsid w:val="005F16B8"/>
    <w:rsid w:val="0060311C"/>
    <w:rsid w:val="00603C38"/>
    <w:rsid w:val="00621FE0"/>
    <w:rsid w:val="006347E7"/>
    <w:rsid w:val="00636ADF"/>
    <w:rsid w:val="00637BC9"/>
    <w:rsid w:val="00641966"/>
    <w:rsid w:val="006424D4"/>
    <w:rsid w:val="006517EB"/>
    <w:rsid w:val="006555D2"/>
    <w:rsid w:val="00663149"/>
    <w:rsid w:val="0067629E"/>
    <w:rsid w:val="006816E9"/>
    <w:rsid w:val="0068294C"/>
    <w:rsid w:val="006835E7"/>
    <w:rsid w:val="006977ED"/>
    <w:rsid w:val="006A26D9"/>
    <w:rsid w:val="006A3981"/>
    <w:rsid w:val="006B1E62"/>
    <w:rsid w:val="006B33E7"/>
    <w:rsid w:val="006B59E5"/>
    <w:rsid w:val="006C2144"/>
    <w:rsid w:val="006D0858"/>
    <w:rsid w:val="006D3C51"/>
    <w:rsid w:val="006D7570"/>
    <w:rsid w:val="006D7BE8"/>
    <w:rsid w:val="006E2CD1"/>
    <w:rsid w:val="00703E18"/>
    <w:rsid w:val="00711B80"/>
    <w:rsid w:val="00714351"/>
    <w:rsid w:val="007148FE"/>
    <w:rsid w:val="00716FE5"/>
    <w:rsid w:val="00721542"/>
    <w:rsid w:val="007264AD"/>
    <w:rsid w:val="00730C33"/>
    <w:rsid w:val="007636D6"/>
    <w:rsid w:val="00770CC5"/>
    <w:rsid w:val="00773738"/>
    <w:rsid w:val="00790BEC"/>
    <w:rsid w:val="0079168B"/>
    <w:rsid w:val="00795781"/>
    <w:rsid w:val="007A037D"/>
    <w:rsid w:val="007A2004"/>
    <w:rsid w:val="007A331A"/>
    <w:rsid w:val="007A3D54"/>
    <w:rsid w:val="007C337B"/>
    <w:rsid w:val="007E7A90"/>
    <w:rsid w:val="007F4ABA"/>
    <w:rsid w:val="007F4B05"/>
    <w:rsid w:val="007F5B5C"/>
    <w:rsid w:val="007F6D7F"/>
    <w:rsid w:val="008007DE"/>
    <w:rsid w:val="008062D5"/>
    <w:rsid w:val="00807570"/>
    <w:rsid w:val="008424F9"/>
    <w:rsid w:val="008512E3"/>
    <w:rsid w:val="00855FE3"/>
    <w:rsid w:val="00857F05"/>
    <w:rsid w:val="00865ED3"/>
    <w:rsid w:val="008724CD"/>
    <w:rsid w:val="0089331D"/>
    <w:rsid w:val="008942D0"/>
    <w:rsid w:val="008A0F61"/>
    <w:rsid w:val="008A5296"/>
    <w:rsid w:val="008B69EF"/>
    <w:rsid w:val="008B6C8C"/>
    <w:rsid w:val="008D6F37"/>
    <w:rsid w:val="008E6F64"/>
    <w:rsid w:val="008F72F6"/>
    <w:rsid w:val="00900160"/>
    <w:rsid w:val="009012CA"/>
    <w:rsid w:val="00902DD5"/>
    <w:rsid w:val="00913D35"/>
    <w:rsid w:val="009204AD"/>
    <w:rsid w:val="00933635"/>
    <w:rsid w:val="00941709"/>
    <w:rsid w:val="00956FC1"/>
    <w:rsid w:val="00960B4D"/>
    <w:rsid w:val="009674FE"/>
    <w:rsid w:val="0097356D"/>
    <w:rsid w:val="00974D73"/>
    <w:rsid w:val="00975654"/>
    <w:rsid w:val="00977990"/>
    <w:rsid w:val="009802C6"/>
    <w:rsid w:val="00982B1D"/>
    <w:rsid w:val="009857DE"/>
    <w:rsid w:val="009A0086"/>
    <w:rsid w:val="009A6EBE"/>
    <w:rsid w:val="009B1036"/>
    <w:rsid w:val="009B161D"/>
    <w:rsid w:val="009B3DB2"/>
    <w:rsid w:val="009B5901"/>
    <w:rsid w:val="009B7359"/>
    <w:rsid w:val="009C242A"/>
    <w:rsid w:val="009C4389"/>
    <w:rsid w:val="009C44DB"/>
    <w:rsid w:val="009D027A"/>
    <w:rsid w:val="009D3919"/>
    <w:rsid w:val="009D3F1C"/>
    <w:rsid w:val="009D6980"/>
    <w:rsid w:val="009E1EE9"/>
    <w:rsid w:val="009F0706"/>
    <w:rsid w:val="009F1362"/>
    <w:rsid w:val="009F3172"/>
    <w:rsid w:val="009F4253"/>
    <w:rsid w:val="009F4BD8"/>
    <w:rsid w:val="009F69B3"/>
    <w:rsid w:val="009F727A"/>
    <w:rsid w:val="00A0177E"/>
    <w:rsid w:val="00A032D0"/>
    <w:rsid w:val="00A03906"/>
    <w:rsid w:val="00A04FE0"/>
    <w:rsid w:val="00A059B0"/>
    <w:rsid w:val="00A05B6C"/>
    <w:rsid w:val="00A158C4"/>
    <w:rsid w:val="00A202A2"/>
    <w:rsid w:val="00A2073B"/>
    <w:rsid w:val="00A24A3B"/>
    <w:rsid w:val="00A255B6"/>
    <w:rsid w:val="00A26C9C"/>
    <w:rsid w:val="00A604E4"/>
    <w:rsid w:val="00A61C7F"/>
    <w:rsid w:val="00A70F8E"/>
    <w:rsid w:val="00A8664A"/>
    <w:rsid w:val="00A93156"/>
    <w:rsid w:val="00A9382E"/>
    <w:rsid w:val="00A9470B"/>
    <w:rsid w:val="00A96339"/>
    <w:rsid w:val="00A97390"/>
    <w:rsid w:val="00AB3142"/>
    <w:rsid w:val="00AB34EE"/>
    <w:rsid w:val="00AB4C0A"/>
    <w:rsid w:val="00AC07F1"/>
    <w:rsid w:val="00AC3485"/>
    <w:rsid w:val="00AC5DDF"/>
    <w:rsid w:val="00AC7B35"/>
    <w:rsid w:val="00AD58A2"/>
    <w:rsid w:val="00AF0BD3"/>
    <w:rsid w:val="00B01D32"/>
    <w:rsid w:val="00B10F98"/>
    <w:rsid w:val="00B12B50"/>
    <w:rsid w:val="00B17FFC"/>
    <w:rsid w:val="00B24A36"/>
    <w:rsid w:val="00B31185"/>
    <w:rsid w:val="00B32A25"/>
    <w:rsid w:val="00B33FDF"/>
    <w:rsid w:val="00B37109"/>
    <w:rsid w:val="00B4193F"/>
    <w:rsid w:val="00B44F77"/>
    <w:rsid w:val="00B46D7D"/>
    <w:rsid w:val="00B50248"/>
    <w:rsid w:val="00B51A3C"/>
    <w:rsid w:val="00B6197C"/>
    <w:rsid w:val="00B6670C"/>
    <w:rsid w:val="00B67E7A"/>
    <w:rsid w:val="00B700B7"/>
    <w:rsid w:val="00B7500A"/>
    <w:rsid w:val="00B87930"/>
    <w:rsid w:val="00B94CD7"/>
    <w:rsid w:val="00BA38F3"/>
    <w:rsid w:val="00BC07F4"/>
    <w:rsid w:val="00BC26C8"/>
    <w:rsid w:val="00BC2F2C"/>
    <w:rsid w:val="00BC4120"/>
    <w:rsid w:val="00BC4AED"/>
    <w:rsid w:val="00BC7D6F"/>
    <w:rsid w:val="00BD12FC"/>
    <w:rsid w:val="00BD389B"/>
    <w:rsid w:val="00BD47E0"/>
    <w:rsid w:val="00BE1AE8"/>
    <w:rsid w:val="00BE43B8"/>
    <w:rsid w:val="00BF0A4F"/>
    <w:rsid w:val="00BF3DDA"/>
    <w:rsid w:val="00BF7E4D"/>
    <w:rsid w:val="00C03E2B"/>
    <w:rsid w:val="00C069D1"/>
    <w:rsid w:val="00C12596"/>
    <w:rsid w:val="00C169C9"/>
    <w:rsid w:val="00C16D86"/>
    <w:rsid w:val="00C21FA9"/>
    <w:rsid w:val="00C30B1C"/>
    <w:rsid w:val="00C32525"/>
    <w:rsid w:val="00C33BFB"/>
    <w:rsid w:val="00C33D2B"/>
    <w:rsid w:val="00C34C0E"/>
    <w:rsid w:val="00C473E1"/>
    <w:rsid w:val="00C4772C"/>
    <w:rsid w:val="00C51EF8"/>
    <w:rsid w:val="00C64DFE"/>
    <w:rsid w:val="00C666E5"/>
    <w:rsid w:val="00C7740A"/>
    <w:rsid w:val="00C80F73"/>
    <w:rsid w:val="00C81F36"/>
    <w:rsid w:val="00C920DC"/>
    <w:rsid w:val="00C941D3"/>
    <w:rsid w:val="00C9564A"/>
    <w:rsid w:val="00CA4097"/>
    <w:rsid w:val="00CA4578"/>
    <w:rsid w:val="00CB0AC9"/>
    <w:rsid w:val="00CB2FF5"/>
    <w:rsid w:val="00CD31E2"/>
    <w:rsid w:val="00CD3207"/>
    <w:rsid w:val="00CD44B2"/>
    <w:rsid w:val="00CD7111"/>
    <w:rsid w:val="00CE537B"/>
    <w:rsid w:val="00D05163"/>
    <w:rsid w:val="00D06560"/>
    <w:rsid w:val="00D1151E"/>
    <w:rsid w:val="00D26EE2"/>
    <w:rsid w:val="00D3151F"/>
    <w:rsid w:val="00D463F6"/>
    <w:rsid w:val="00D510F9"/>
    <w:rsid w:val="00D61F17"/>
    <w:rsid w:val="00D6230D"/>
    <w:rsid w:val="00D623B2"/>
    <w:rsid w:val="00D743A8"/>
    <w:rsid w:val="00D80942"/>
    <w:rsid w:val="00D857A7"/>
    <w:rsid w:val="00D9160D"/>
    <w:rsid w:val="00DA0B84"/>
    <w:rsid w:val="00DA5453"/>
    <w:rsid w:val="00DB71A4"/>
    <w:rsid w:val="00DB76FB"/>
    <w:rsid w:val="00DC56C4"/>
    <w:rsid w:val="00DD14C6"/>
    <w:rsid w:val="00DD7959"/>
    <w:rsid w:val="00DE053E"/>
    <w:rsid w:val="00DE2E12"/>
    <w:rsid w:val="00DE3851"/>
    <w:rsid w:val="00DE7DEB"/>
    <w:rsid w:val="00DF49EF"/>
    <w:rsid w:val="00E1116B"/>
    <w:rsid w:val="00E15831"/>
    <w:rsid w:val="00E209FC"/>
    <w:rsid w:val="00E243D3"/>
    <w:rsid w:val="00E30A1C"/>
    <w:rsid w:val="00E348DA"/>
    <w:rsid w:val="00E368EE"/>
    <w:rsid w:val="00E37DA3"/>
    <w:rsid w:val="00E56A55"/>
    <w:rsid w:val="00E63B9E"/>
    <w:rsid w:val="00E77686"/>
    <w:rsid w:val="00E850F9"/>
    <w:rsid w:val="00E85F34"/>
    <w:rsid w:val="00E916B2"/>
    <w:rsid w:val="00E95E5C"/>
    <w:rsid w:val="00EA300E"/>
    <w:rsid w:val="00EB037E"/>
    <w:rsid w:val="00EB04F3"/>
    <w:rsid w:val="00EB527B"/>
    <w:rsid w:val="00EC4E58"/>
    <w:rsid w:val="00ED3903"/>
    <w:rsid w:val="00ED40DC"/>
    <w:rsid w:val="00ED6485"/>
    <w:rsid w:val="00F00E07"/>
    <w:rsid w:val="00F013D2"/>
    <w:rsid w:val="00F0199D"/>
    <w:rsid w:val="00F07C26"/>
    <w:rsid w:val="00F14772"/>
    <w:rsid w:val="00F16815"/>
    <w:rsid w:val="00F20446"/>
    <w:rsid w:val="00F222A4"/>
    <w:rsid w:val="00F24FA1"/>
    <w:rsid w:val="00F2529C"/>
    <w:rsid w:val="00F26480"/>
    <w:rsid w:val="00F27FFB"/>
    <w:rsid w:val="00F305E9"/>
    <w:rsid w:val="00F3514B"/>
    <w:rsid w:val="00F45C21"/>
    <w:rsid w:val="00F500CC"/>
    <w:rsid w:val="00F501A7"/>
    <w:rsid w:val="00F510CD"/>
    <w:rsid w:val="00F63138"/>
    <w:rsid w:val="00F6726A"/>
    <w:rsid w:val="00F7169F"/>
    <w:rsid w:val="00F7264B"/>
    <w:rsid w:val="00F74CDD"/>
    <w:rsid w:val="00F80F5A"/>
    <w:rsid w:val="00F818E0"/>
    <w:rsid w:val="00F844A4"/>
    <w:rsid w:val="00F84EF0"/>
    <w:rsid w:val="00F86840"/>
    <w:rsid w:val="00F86EF1"/>
    <w:rsid w:val="00FB7300"/>
    <w:rsid w:val="00FB7AF8"/>
    <w:rsid w:val="00FC5648"/>
    <w:rsid w:val="00FD3D08"/>
    <w:rsid w:val="00FE67B3"/>
    <w:rsid w:val="00FF649D"/>
    <w:rsid w:val="00FF78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A00F42E"/>
  <w15:docId w15:val="{D89C4BE9-3C13-437A-91A4-80351EBE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382E"/>
    <w:rPr>
      <w:rFonts w:ascii="Arial" w:hAnsi="Arial"/>
      <w:sz w:val="24"/>
    </w:rPr>
  </w:style>
  <w:style w:type="paragraph" w:styleId="berschrift1">
    <w:name w:val="heading 1"/>
    <w:basedOn w:val="Standard"/>
    <w:next w:val="Standard"/>
    <w:link w:val="berschrift1Zchn"/>
    <w:uiPriority w:val="9"/>
    <w:qFormat/>
    <w:rsid w:val="00A9382E"/>
    <w:pPr>
      <w:keepNext/>
      <w:keepLines/>
      <w:spacing w:before="480" w:after="0"/>
      <w:outlineLvl w:val="0"/>
    </w:pPr>
    <w:rPr>
      <w:rFonts w:eastAsiaTheme="majorEastAsia" w:cstheme="majorBidi"/>
      <w:b/>
      <w:bCs/>
      <w:color w:val="000000" w:themeColor="text1"/>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A06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06E0"/>
    <w:rPr>
      <w:rFonts w:ascii="Tahoma" w:hAnsi="Tahoma" w:cs="Tahoma"/>
      <w:sz w:val="16"/>
      <w:szCs w:val="16"/>
    </w:rPr>
  </w:style>
  <w:style w:type="paragraph" w:styleId="Kopfzeile">
    <w:name w:val="header"/>
    <w:basedOn w:val="Standard"/>
    <w:link w:val="KopfzeileZchn"/>
    <w:uiPriority w:val="99"/>
    <w:unhideWhenUsed/>
    <w:rsid w:val="001A06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A06E0"/>
  </w:style>
  <w:style w:type="paragraph" w:styleId="Fuzeile">
    <w:name w:val="footer"/>
    <w:basedOn w:val="Standard"/>
    <w:link w:val="FuzeileZchn"/>
    <w:uiPriority w:val="99"/>
    <w:unhideWhenUsed/>
    <w:rsid w:val="001A06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A06E0"/>
  </w:style>
  <w:style w:type="paragraph" w:styleId="KeinLeerraum">
    <w:name w:val="No Spacing"/>
    <w:uiPriority w:val="1"/>
    <w:qFormat/>
    <w:rsid w:val="001A06E0"/>
    <w:pPr>
      <w:spacing w:after="0" w:line="240" w:lineRule="auto"/>
    </w:pPr>
    <w:rPr>
      <w:rFonts w:ascii="Arial" w:hAnsi="Arial"/>
      <w:sz w:val="20"/>
    </w:rPr>
  </w:style>
  <w:style w:type="character" w:customStyle="1" w:styleId="berschrift1Zchn">
    <w:name w:val="Überschrift 1 Zchn"/>
    <w:basedOn w:val="Absatz-Standardschriftart"/>
    <w:link w:val="berschrift1"/>
    <w:uiPriority w:val="9"/>
    <w:rsid w:val="00A9382E"/>
    <w:rPr>
      <w:rFonts w:ascii="Arial" w:eastAsiaTheme="majorEastAsia" w:hAnsi="Arial" w:cstheme="majorBidi"/>
      <w:b/>
      <w:bCs/>
      <w:color w:val="000000" w:themeColor="text1"/>
      <w:sz w:val="24"/>
      <w:szCs w:val="28"/>
    </w:rPr>
  </w:style>
  <w:style w:type="character" w:styleId="Seitenzahl">
    <w:name w:val="page number"/>
    <w:basedOn w:val="Absatz-Standardschriftart"/>
    <w:rsid w:val="008724CD"/>
  </w:style>
  <w:style w:type="paragraph" w:customStyle="1" w:styleId="EinfAbs">
    <w:name w:val="[Einf. Abs.]"/>
    <w:basedOn w:val="Standard"/>
    <w:uiPriority w:val="99"/>
    <w:rsid w:val="00A9382E"/>
    <w:pPr>
      <w:autoSpaceDE w:val="0"/>
      <w:autoSpaceDN w:val="0"/>
      <w:adjustRightInd w:val="0"/>
      <w:spacing w:after="0" w:line="288" w:lineRule="auto"/>
      <w:textAlignment w:val="center"/>
    </w:pPr>
    <w:rPr>
      <w:rFonts w:ascii="Minion Pro" w:hAnsi="Minion Pro" w:cs="Minion Pro"/>
      <w:color w:val="000000"/>
      <w:szCs w:val="24"/>
    </w:rPr>
  </w:style>
  <w:style w:type="paragraph" w:styleId="Titel">
    <w:name w:val="Title"/>
    <w:basedOn w:val="Standard"/>
    <w:next w:val="Standard"/>
    <w:link w:val="TitelZchn"/>
    <w:uiPriority w:val="10"/>
    <w:qFormat/>
    <w:rsid w:val="00A9382E"/>
    <w:pPr>
      <w:spacing w:before="120" w:after="0" w:line="240" w:lineRule="auto"/>
      <w:contextualSpacing/>
    </w:pPr>
    <w:rPr>
      <w:rFonts w:eastAsiaTheme="majorEastAsia" w:cstheme="majorBidi"/>
      <w:b/>
      <w:spacing w:val="5"/>
      <w:kern w:val="28"/>
      <w:sz w:val="28"/>
      <w:szCs w:val="52"/>
    </w:rPr>
  </w:style>
  <w:style w:type="character" w:customStyle="1" w:styleId="TitelZchn">
    <w:name w:val="Titel Zchn"/>
    <w:basedOn w:val="Absatz-Standardschriftart"/>
    <w:link w:val="Titel"/>
    <w:uiPriority w:val="10"/>
    <w:rsid w:val="00A9382E"/>
    <w:rPr>
      <w:rFonts w:ascii="Arial" w:eastAsiaTheme="majorEastAsia" w:hAnsi="Arial" w:cstheme="majorBidi"/>
      <w:b/>
      <w:spacing w:val="5"/>
      <w:kern w:val="28"/>
      <w:sz w:val="28"/>
      <w:szCs w:val="52"/>
    </w:rPr>
  </w:style>
  <w:style w:type="character" w:styleId="Hyperlink">
    <w:name w:val="Hyperlink"/>
    <w:semiHidden/>
    <w:rsid w:val="00A9382E"/>
    <w:rPr>
      <w:color w:val="0000FF"/>
      <w:u w:val="single"/>
    </w:rPr>
  </w:style>
  <w:style w:type="paragraph" w:styleId="Textkrper3">
    <w:name w:val="Body Text 3"/>
    <w:link w:val="Textkrper3Zchn"/>
    <w:semiHidden/>
    <w:unhideWhenUsed/>
    <w:rsid w:val="00DD14C6"/>
    <w:pPr>
      <w:spacing w:after="120"/>
    </w:pPr>
    <w:rPr>
      <w:rFonts w:ascii="Arial" w:eastAsia="Arial Unicode MS" w:hAnsi="Arial" w:cs="Arial Unicode MS"/>
      <w:color w:val="000000"/>
      <w:sz w:val="16"/>
      <w:szCs w:val="16"/>
      <w:u w:color="000000"/>
      <w:lang w:eastAsia="de-DE"/>
    </w:rPr>
  </w:style>
  <w:style w:type="character" w:customStyle="1" w:styleId="Textkrper3Zchn">
    <w:name w:val="Textkörper 3 Zchn"/>
    <w:basedOn w:val="Absatz-Standardschriftart"/>
    <w:link w:val="Textkrper3"/>
    <w:semiHidden/>
    <w:rsid w:val="00DD14C6"/>
    <w:rPr>
      <w:rFonts w:ascii="Arial" w:eastAsia="Arial Unicode MS" w:hAnsi="Arial" w:cs="Arial Unicode MS"/>
      <w:color w:val="000000"/>
      <w:sz w:val="16"/>
      <w:szCs w:val="16"/>
      <w:u w:color="000000"/>
      <w:lang w:eastAsia="de-DE"/>
    </w:rPr>
  </w:style>
  <w:style w:type="character" w:styleId="Kommentarzeichen">
    <w:name w:val="annotation reference"/>
    <w:basedOn w:val="Absatz-Standardschriftart"/>
    <w:uiPriority w:val="99"/>
    <w:semiHidden/>
    <w:unhideWhenUsed/>
    <w:rsid w:val="00A05B6C"/>
    <w:rPr>
      <w:sz w:val="16"/>
      <w:szCs w:val="16"/>
    </w:rPr>
  </w:style>
  <w:style w:type="paragraph" w:styleId="Kommentartext">
    <w:name w:val="annotation text"/>
    <w:basedOn w:val="Standard"/>
    <w:link w:val="KommentartextZchn"/>
    <w:uiPriority w:val="99"/>
    <w:semiHidden/>
    <w:unhideWhenUsed/>
    <w:rsid w:val="00A05B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5B6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05B6C"/>
    <w:rPr>
      <w:b/>
      <w:bCs/>
    </w:rPr>
  </w:style>
  <w:style w:type="character" w:customStyle="1" w:styleId="KommentarthemaZchn">
    <w:name w:val="Kommentarthema Zchn"/>
    <w:basedOn w:val="KommentartextZchn"/>
    <w:link w:val="Kommentarthema"/>
    <w:uiPriority w:val="99"/>
    <w:semiHidden/>
    <w:rsid w:val="00A05B6C"/>
    <w:rPr>
      <w:rFonts w:ascii="Arial" w:hAnsi="Arial"/>
      <w:b/>
      <w:bCs/>
      <w:sz w:val="20"/>
      <w:szCs w:val="20"/>
    </w:rPr>
  </w:style>
  <w:style w:type="character" w:styleId="Hervorhebung">
    <w:name w:val="Emphasis"/>
    <w:basedOn w:val="Absatz-Standardschriftart"/>
    <w:uiPriority w:val="20"/>
    <w:qFormat/>
    <w:rsid w:val="00F501A7"/>
    <w:rPr>
      <w:b/>
      <w:bCs/>
      <w:i w:val="0"/>
      <w:iCs w:val="0"/>
    </w:rPr>
  </w:style>
  <w:style w:type="character" w:customStyle="1" w:styleId="st1">
    <w:name w:val="st1"/>
    <w:basedOn w:val="Absatz-Standardschriftart"/>
    <w:rsid w:val="00F501A7"/>
  </w:style>
  <w:style w:type="paragraph" w:styleId="berarbeitung">
    <w:name w:val="Revision"/>
    <w:hidden/>
    <w:uiPriority w:val="99"/>
    <w:semiHidden/>
    <w:rsid w:val="00334162"/>
    <w:pPr>
      <w:spacing w:after="0" w:line="240" w:lineRule="auto"/>
    </w:pPr>
    <w:rPr>
      <w:rFonts w:ascii="Arial" w:hAnsi="Arial"/>
      <w:sz w:val="24"/>
    </w:rPr>
  </w:style>
  <w:style w:type="paragraph" w:styleId="Listenabsatz">
    <w:name w:val="List Paragraph"/>
    <w:basedOn w:val="Standard"/>
    <w:uiPriority w:val="34"/>
    <w:qFormat/>
    <w:rsid w:val="00A158C4"/>
    <w:pPr>
      <w:ind w:left="720"/>
      <w:contextualSpacing/>
    </w:pPr>
    <w:rPr>
      <w:rFonts w:asciiTheme="minorHAnsi" w:hAnsiTheme="minorHAnsi"/>
      <w:sz w:val="22"/>
    </w:rPr>
  </w:style>
  <w:style w:type="paragraph" w:customStyle="1" w:styleId="paragraph">
    <w:name w:val="paragraph"/>
    <w:basedOn w:val="Standard"/>
    <w:rsid w:val="00EB037E"/>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normaltextrun">
    <w:name w:val="normaltextrun"/>
    <w:basedOn w:val="Absatz-Standardschriftart"/>
    <w:rsid w:val="00EB037E"/>
  </w:style>
  <w:style w:type="character" w:customStyle="1" w:styleId="eop">
    <w:name w:val="eop"/>
    <w:basedOn w:val="Absatz-Standardschriftart"/>
    <w:rsid w:val="00EB037E"/>
  </w:style>
  <w:style w:type="character" w:customStyle="1" w:styleId="spellingerror">
    <w:name w:val="spellingerror"/>
    <w:basedOn w:val="Absatz-Standardschriftart"/>
    <w:rsid w:val="00EB037E"/>
  </w:style>
  <w:style w:type="paragraph" w:styleId="HTMLVorformatiert">
    <w:name w:val="HTML Preformatted"/>
    <w:basedOn w:val="Standard"/>
    <w:link w:val="HTMLVorformatiertZchn"/>
    <w:uiPriority w:val="99"/>
    <w:semiHidden/>
    <w:unhideWhenUsed/>
    <w:rsid w:val="004A1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4A12CA"/>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65051">
      <w:bodyDiv w:val="1"/>
      <w:marLeft w:val="0"/>
      <w:marRight w:val="0"/>
      <w:marTop w:val="0"/>
      <w:marBottom w:val="0"/>
      <w:divBdr>
        <w:top w:val="none" w:sz="0" w:space="0" w:color="auto"/>
        <w:left w:val="none" w:sz="0" w:space="0" w:color="auto"/>
        <w:bottom w:val="none" w:sz="0" w:space="0" w:color="auto"/>
        <w:right w:val="none" w:sz="0" w:space="0" w:color="auto"/>
      </w:divBdr>
    </w:div>
    <w:div w:id="150483952">
      <w:bodyDiv w:val="1"/>
      <w:marLeft w:val="0"/>
      <w:marRight w:val="0"/>
      <w:marTop w:val="0"/>
      <w:marBottom w:val="0"/>
      <w:divBdr>
        <w:top w:val="none" w:sz="0" w:space="0" w:color="auto"/>
        <w:left w:val="none" w:sz="0" w:space="0" w:color="auto"/>
        <w:bottom w:val="none" w:sz="0" w:space="0" w:color="auto"/>
        <w:right w:val="none" w:sz="0" w:space="0" w:color="auto"/>
      </w:divBdr>
    </w:div>
    <w:div w:id="194737956">
      <w:bodyDiv w:val="1"/>
      <w:marLeft w:val="0"/>
      <w:marRight w:val="0"/>
      <w:marTop w:val="0"/>
      <w:marBottom w:val="0"/>
      <w:divBdr>
        <w:top w:val="none" w:sz="0" w:space="0" w:color="auto"/>
        <w:left w:val="none" w:sz="0" w:space="0" w:color="auto"/>
        <w:bottom w:val="none" w:sz="0" w:space="0" w:color="auto"/>
        <w:right w:val="none" w:sz="0" w:space="0" w:color="auto"/>
      </w:divBdr>
    </w:div>
    <w:div w:id="273636641">
      <w:bodyDiv w:val="1"/>
      <w:marLeft w:val="0"/>
      <w:marRight w:val="0"/>
      <w:marTop w:val="0"/>
      <w:marBottom w:val="0"/>
      <w:divBdr>
        <w:top w:val="none" w:sz="0" w:space="0" w:color="auto"/>
        <w:left w:val="none" w:sz="0" w:space="0" w:color="auto"/>
        <w:bottom w:val="none" w:sz="0" w:space="0" w:color="auto"/>
        <w:right w:val="none" w:sz="0" w:space="0" w:color="auto"/>
      </w:divBdr>
    </w:div>
    <w:div w:id="435296156">
      <w:bodyDiv w:val="1"/>
      <w:marLeft w:val="0"/>
      <w:marRight w:val="0"/>
      <w:marTop w:val="0"/>
      <w:marBottom w:val="0"/>
      <w:divBdr>
        <w:top w:val="none" w:sz="0" w:space="0" w:color="auto"/>
        <w:left w:val="none" w:sz="0" w:space="0" w:color="auto"/>
        <w:bottom w:val="none" w:sz="0" w:space="0" w:color="auto"/>
        <w:right w:val="none" w:sz="0" w:space="0" w:color="auto"/>
      </w:divBdr>
    </w:div>
    <w:div w:id="469127613">
      <w:bodyDiv w:val="1"/>
      <w:marLeft w:val="0"/>
      <w:marRight w:val="0"/>
      <w:marTop w:val="0"/>
      <w:marBottom w:val="0"/>
      <w:divBdr>
        <w:top w:val="none" w:sz="0" w:space="0" w:color="auto"/>
        <w:left w:val="none" w:sz="0" w:space="0" w:color="auto"/>
        <w:bottom w:val="none" w:sz="0" w:space="0" w:color="auto"/>
        <w:right w:val="none" w:sz="0" w:space="0" w:color="auto"/>
      </w:divBdr>
    </w:div>
    <w:div w:id="474881568">
      <w:bodyDiv w:val="1"/>
      <w:marLeft w:val="0"/>
      <w:marRight w:val="0"/>
      <w:marTop w:val="0"/>
      <w:marBottom w:val="0"/>
      <w:divBdr>
        <w:top w:val="none" w:sz="0" w:space="0" w:color="auto"/>
        <w:left w:val="none" w:sz="0" w:space="0" w:color="auto"/>
        <w:bottom w:val="none" w:sz="0" w:space="0" w:color="auto"/>
        <w:right w:val="none" w:sz="0" w:space="0" w:color="auto"/>
      </w:divBdr>
    </w:div>
    <w:div w:id="660356296">
      <w:bodyDiv w:val="1"/>
      <w:marLeft w:val="0"/>
      <w:marRight w:val="0"/>
      <w:marTop w:val="0"/>
      <w:marBottom w:val="0"/>
      <w:divBdr>
        <w:top w:val="none" w:sz="0" w:space="0" w:color="auto"/>
        <w:left w:val="none" w:sz="0" w:space="0" w:color="auto"/>
        <w:bottom w:val="none" w:sz="0" w:space="0" w:color="auto"/>
        <w:right w:val="none" w:sz="0" w:space="0" w:color="auto"/>
      </w:divBdr>
    </w:div>
    <w:div w:id="921136458">
      <w:bodyDiv w:val="1"/>
      <w:marLeft w:val="0"/>
      <w:marRight w:val="0"/>
      <w:marTop w:val="0"/>
      <w:marBottom w:val="0"/>
      <w:divBdr>
        <w:top w:val="none" w:sz="0" w:space="0" w:color="auto"/>
        <w:left w:val="none" w:sz="0" w:space="0" w:color="auto"/>
        <w:bottom w:val="none" w:sz="0" w:space="0" w:color="auto"/>
        <w:right w:val="none" w:sz="0" w:space="0" w:color="auto"/>
      </w:divBdr>
    </w:div>
    <w:div w:id="929660749">
      <w:bodyDiv w:val="1"/>
      <w:marLeft w:val="0"/>
      <w:marRight w:val="0"/>
      <w:marTop w:val="0"/>
      <w:marBottom w:val="0"/>
      <w:divBdr>
        <w:top w:val="none" w:sz="0" w:space="0" w:color="auto"/>
        <w:left w:val="none" w:sz="0" w:space="0" w:color="auto"/>
        <w:bottom w:val="none" w:sz="0" w:space="0" w:color="auto"/>
        <w:right w:val="none" w:sz="0" w:space="0" w:color="auto"/>
      </w:divBdr>
    </w:div>
    <w:div w:id="957224354">
      <w:bodyDiv w:val="1"/>
      <w:marLeft w:val="0"/>
      <w:marRight w:val="0"/>
      <w:marTop w:val="0"/>
      <w:marBottom w:val="0"/>
      <w:divBdr>
        <w:top w:val="none" w:sz="0" w:space="0" w:color="auto"/>
        <w:left w:val="none" w:sz="0" w:space="0" w:color="auto"/>
        <w:bottom w:val="none" w:sz="0" w:space="0" w:color="auto"/>
        <w:right w:val="none" w:sz="0" w:space="0" w:color="auto"/>
      </w:divBdr>
    </w:div>
    <w:div w:id="1118258604">
      <w:bodyDiv w:val="1"/>
      <w:marLeft w:val="0"/>
      <w:marRight w:val="0"/>
      <w:marTop w:val="0"/>
      <w:marBottom w:val="0"/>
      <w:divBdr>
        <w:top w:val="none" w:sz="0" w:space="0" w:color="auto"/>
        <w:left w:val="none" w:sz="0" w:space="0" w:color="auto"/>
        <w:bottom w:val="none" w:sz="0" w:space="0" w:color="auto"/>
        <w:right w:val="none" w:sz="0" w:space="0" w:color="auto"/>
      </w:divBdr>
    </w:div>
    <w:div w:id="1214541149">
      <w:bodyDiv w:val="1"/>
      <w:marLeft w:val="0"/>
      <w:marRight w:val="0"/>
      <w:marTop w:val="0"/>
      <w:marBottom w:val="0"/>
      <w:divBdr>
        <w:top w:val="none" w:sz="0" w:space="0" w:color="auto"/>
        <w:left w:val="none" w:sz="0" w:space="0" w:color="auto"/>
        <w:bottom w:val="none" w:sz="0" w:space="0" w:color="auto"/>
        <w:right w:val="none" w:sz="0" w:space="0" w:color="auto"/>
      </w:divBdr>
    </w:div>
    <w:div w:id="1342701645">
      <w:bodyDiv w:val="1"/>
      <w:marLeft w:val="0"/>
      <w:marRight w:val="0"/>
      <w:marTop w:val="0"/>
      <w:marBottom w:val="0"/>
      <w:divBdr>
        <w:top w:val="none" w:sz="0" w:space="0" w:color="auto"/>
        <w:left w:val="none" w:sz="0" w:space="0" w:color="auto"/>
        <w:bottom w:val="none" w:sz="0" w:space="0" w:color="auto"/>
        <w:right w:val="none" w:sz="0" w:space="0" w:color="auto"/>
      </w:divBdr>
    </w:div>
    <w:div w:id="1579050461">
      <w:bodyDiv w:val="1"/>
      <w:marLeft w:val="0"/>
      <w:marRight w:val="0"/>
      <w:marTop w:val="0"/>
      <w:marBottom w:val="0"/>
      <w:divBdr>
        <w:top w:val="none" w:sz="0" w:space="0" w:color="auto"/>
        <w:left w:val="none" w:sz="0" w:space="0" w:color="auto"/>
        <w:bottom w:val="none" w:sz="0" w:space="0" w:color="auto"/>
        <w:right w:val="none" w:sz="0" w:space="0" w:color="auto"/>
      </w:divBdr>
    </w:div>
    <w:div w:id="1685588361">
      <w:bodyDiv w:val="1"/>
      <w:marLeft w:val="0"/>
      <w:marRight w:val="0"/>
      <w:marTop w:val="0"/>
      <w:marBottom w:val="0"/>
      <w:divBdr>
        <w:top w:val="none" w:sz="0" w:space="0" w:color="auto"/>
        <w:left w:val="none" w:sz="0" w:space="0" w:color="auto"/>
        <w:bottom w:val="none" w:sz="0" w:space="0" w:color="auto"/>
        <w:right w:val="none" w:sz="0" w:space="0" w:color="auto"/>
      </w:divBdr>
    </w:div>
    <w:div w:id="1776703491">
      <w:bodyDiv w:val="1"/>
      <w:marLeft w:val="0"/>
      <w:marRight w:val="0"/>
      <w:marTop w:val="0"/>
      <w:marBottom w:val="0"/>
      <w:divBdr>
        <w:top w:val="none" w:sz="0" w:space="0" w:color="auto"/>
        <w:left w:val="none" w:sz="0" w:space="0" w:color="auto"/>
        <w:bottom w:val="none" w:sz="0" w:space="0" w:color="auto"/>
        <w:right w:val="none" w:sz="0" w:space="0" w:color="auto"/>
      </w:divBdr>
    </w:div>
    <w:div w:id="19688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RTING.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tlef.Sieverdingbeck@HARTING.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ARTING.com/DE/en-gb/news/press-relea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2FC22-0551-40EE-BF32-CD23D053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3471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HARTING KGaA</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Klose, Michael</dc:creator>
  <cp:lastModifiedBy>Klose, Michael</cp:lastModifiedBy>
  <cp:revision>10</cp:revision>
  <cp:lastPrinted>2018-07-18T05:51:00Z</cp:lastPrinted>
  <dcterms:created xsi:type="dcterms:W3CDTF">2021-03-19T09:42:00Z</dcterms:created>
  <dcterms:modified xsi:type="dcterms:W3CDTF">2021-03-31T10:44:00Z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156776</vt:lpwstr>
  </property>
  <property fmtid="{D5CDD505-2E9C-101B-9397-08002B2CF9AE}" pid="3" name="NXPowerLiteSettings">
    <vt:lpwstr>F7000400038000</vt:lpwstr>
  </property>
  <property fmtid="{D5CDD505-2E9C-101B-9397-08002B2CF9AE}" pid="4" name="NXPowerLiteVersion">
    <vt:lpwstr>D7.0.3</vt:lpwstr>
  </property>
</Properties>
</file>