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F2BEC3" w14:textId="77777777" w:rsidR="009935FB" w:rsidRPr="00252345" w:rsidRDefault="009935FB" w:rsidP="009935FB">
      <w:pPr>
        <w:spacing w:after="0" w:line="240" w:lineRule="auto"/>
        <w:textAlignment w:val="baseline"/>
        <w:rPr>
          <w:rFonts w:ascii="Segoe UI" w:eastAsia="Times New Roman" w:hAnsi="Segoe UI" w:cs="Segoe UI"/>
          <w:szCs w:val="24"/>
          <w:lang w:eastAsia="ja-JP"/>
        </w:rPr>
      </w:pPr>
      <w:r w:rsidRPr="00252345">
        <w:rPr>
          <w:rFonts w:eastAsia="Times New Roman" w:cs="Arial"/>
          <w:b/>
          <w:bCs/>
          <w:szCs w:val="24"/>
          <w:lang w:eastAsia="ja-JP"/>
        </w:rPr>
        <w:t>Plug &amp; Play für Energiespeichersysteme</w:t>
      </w:r>
      <w:r w:rsidRPr="00252345">
        <w:rPr>
          <w:rFonts w:eastAsia="Times New Roman" w:cs="Arial"/>
          <w:szCs w:val="24"/>
          <w:lang w:eastAsia="ja-JP"/>
        </w:rPr>
        <w:t> </w:t>
      </w:r>
    </w:p>
    <w:p w14:paraId="3C9B8C20" w14:textId="4FD05D3E" w:rsidR="00EB6695" w:rsidRPr="009935FB" w:rsidRDefault="009935FB" w:rsidP="00EB6695">
      <w:pPr>
        <w:pStyle w:val="StandardWeb"/>
        <w:keepNext/>
        <w:spacing w:before="0" w:beforeAutospacing="0" w:after="0" w:afterAutospacing="0" w:line="276" w:lineRule="auto"/>
        <w:rPr>
          <w:rFonts w:ascii="Arial" w:hAnsi="Arial" w:cs="Arial"/>
          <w:sz w:val="24"/>
          <w:szCs w:val="24"/>
        </w:rPr>
      </w:pPr>
      <w:r w:rsidRPr="009935FB">
        <w:rPr>
          <w:rFonts w:ascii="Arial" w:hAnsi="Arial" w:cs="Arial"/>
          <w:sz w:val="24"/>
          <w:szCs w:val="24"/>
        </w:rPr>
        <w:t xml:space="preserve">All for Energy mit </w:t>
      </w:r>
      <w:r w:rsidRPr="009935FB">
        <w:rPr>
          <w:rFonts w:ascii="Arial" w:eastAsia="Times New Roman" w:hAnsi="Arial" w:cs="Arial"/>
          <w:szCs w:val="24"/>
          <w:lang w:eastAsia="ja-JP"/>
        </w:rPr>
        <w:t>Han</w:t>
      </w:r>
      <w:r w:rsidRPr="009935FB">
        <w:rPr>
          <w:rFonts w:ascii="Arial" w:eastAsia="Times New Roman" w:hAnsi="Arial" w:cs="Arial"/>
          <w:sz w:val="19"/>
          <w:szCs w:val="19"/>
          <w:vertAlign w:val="superscript"/>
          <w:lang w:eastAsia="ja-JP"/>
        </w:rPr>
        <w:t>®</w:t>
      </w:r>
      <w:r w:rsidRPr="009935FB">
        <w:rPr>
          <w:rFonts w:ascii="Arial" w:eastAsia="Times New Roman" w:hAnsi="Arial" w:cs="Arial"/>
          <w:szCs w:val="24"/>
          <w:lang w:eastAsia="ja-JP"/>
        </w:rPr>
        <w:t> S Steckverbinder und Kabelkonfektionen</w:t>
      </w:r>
    </w:p>
    <w:p w14:paraId="365B8A3B" w14:textId="77777777" w:rsidR="00EB6695" w:rsidRPr="007B5A96" w:rsidRDefault="00EB6695" w:rsidP="00EB6695">
      <w:pPr>
        <w:pStyle w:val="StandardWeb"/>
        <w:keepNext/>
        <w:spacing w:before="0" w:beforeAutospacing="0" w:after="0" w:afterAutospacing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70D2D4C5" w14:textId="77777777" w:rsidR="00EB6695" w:rsidRDefault="00EB6695" w:rsidP="00EB6695"/>
    <w:p w14:paraId="4525DFCF" w14:textId="1199FE67" w:rsidR="000B2BD9" w:rsidRPr="00252345" w:rsidRDefault="00EB6695" w:rsidP="000B2BD9">
      <w:pPr>
        <w:spacing w:line="360" w:lineRule="auto"/>
        <w:rPr>
          <w:rFonts w:eastAsia="Times New Roman" w:cs="Arial"/>
          <w:szCs w:val="24"/>
          <w:lang w:eastAsia="ja-JP"/>
        </w:rPr>
      </w:pPr>
      <w:r w:rsidRPr="007B5A96">
        <w:rPr>
          <w:b/>
          <w:bCs/>
        </w:rPr>
        <w:t xml:space="preserve">Espelkamp, 23. November 2021 </w:t>
      </w:r>
      <w:r w:rsidRPr="007B5A96">
        <w:rPr>
          <w:b/>
          <w:bCs/>
          <w:szCs w:val="24"/>
        </w:rPr>
        <w:t>---</w:t>
      </w:r>
      <w:r>
        <w:rPr>
          <w:b/>
          <w:szCs w:val="24"/>
        </w:rPr>
        <w:t xml:space="preserve"> </w:t>
      </w:r>
      <w:r w:rsidR="009935FB">
        <w:rPr>
          <w:b/>
          <w:szCs w:val="24"/>
        </w:rPr>
        <w:t xml:space="preserve">Minimaler Verdrahtungsaufwand vor Ort und </w:t>
      </w:r>
      <w:r w:rsidR="000B2BD9">
        <w:rPr>
          <w:b/>
          <w:szCs w:val="24"/>
        </w:rPr>
        <w:t xml:space="preserve">verkürzte Installationszeiten: </w:t>
      </w:r>
      <w:r w:rsidRPr="005C6C0A">
        <w:rPr>
          <w:b/>
          <w:bCs/>
        </w:rPr>
        <w:t xml:space="preserve">HARTING </w:t>
      </w:r>
      <w:r w:rsidR="000B2BD9">
        <w:rPr>
          <w:b/>
          <w:bCs/>
        </w:rPr>
        <w:t>präsentiert mit seinem Han</w:t>
      </w:r>
      <w:r w:rsidR="000B2BD9" w:rsidRPr="000B2BD9">
        <w:rPr>
          <w:b/>
          <w:bCs/>
          <w:vertAlign w:val="superscript"/>
        </w:rPr>
        <w:t>®</w:t>
      </w:r>
      <w:r w:rsidR="000B2BD9">
        <w:rPr>
          <w:b/>
          <w:bCs/>
        </w:rPr>
        <w:t xml:space="preserve"> S Steckverbinder eine ideale Lösung</w:t>
      </w:r>
      <w:r w:rsidR="00127049">
        <w:rPr>
          <w:rFonts w:eastAsia="Times New Roman" w:cs="Arial"/>
          <w:szCs w:val="24"/>
          <w:lang w:eastAsia="ja-JP"/>
        </w:rPr>
        <w:t xml:space="preserve"> </w:t>
      </w:r>
      <w:r w:rsidR="00127049">
        <w:rPr>
          <w:rFonts w:eastAsia="Times New Roman" w:cs="Arial"/>
          <w:b/>
          <w:bCs/>
          <w:szCs w:val="24"/>
          <w:lang w:eastAsia="ja-JP"/>
        </w:rPr>
        <w:t>für</w:t>
      </w:r>
      <w:r w:rsidR="009935FB" w:rsidRPr="009935FB">
        <w:rPr>
          <w:rFonts w:eastAsia="Times New Roman" w:cs="Arial"/>
          <w:b/>
          <w:bCs/>
          <w:szCs w:val="24"/>
          <w:lang w:eastAsia="ja-JP"/>
        </w:rPr>
        <w:t xml:space="preserve"> den Aufbau von Energiespeichersystemen (ESS) auf der Basis von Batteriespeicher-Modulen</w:t>
      </w:r>
      <w:r w:rsidR="007914A0">
        <w:rPr>
          <w:rFonts w:eastAsia="Times New Roman" w:cs="Arial"/>
          <w:b/>
          <w:bCs/>
          <w:szCs w:val="24"/>
          <w:lang w:eastAsia="ja-JP"/>
        </w:rPr>
        <w:t xml:space="preserve"> </w:t>
      </w:r>
      <w:r w:rsidR="007914A0" w:rsidRPr="00252345">
        <w:rPr>
          <w:rFonts w:eastAsia="Times New Roman" w:cs="Arial"/>
          <w:b/>
          <w:bCs/>
          <w:szCs w:val="24"/>
          <w:lang w:eastAsia="ja-JP"/>
        </w:rPr>
        <w:t>und liefert damit einen wichtigen Beitrag zur Etablierung leistungsfähiger Infrastrukturen für die dezentrale Energieversorgung</w:t>
      </w:r>
      <w:r w:rsidR="009935FB" w:rsidRPr="00252345">
        <w:rPr>
          <w:rFonts w:eastAsia="Times New Roman" w:cs="Arial"/>
          <w:b/>
          <w:bCs/>
          <w:szCs w:val="24"/>
          <w:lang w:eastAsia="ja-JP"/>
        </w:rPr>
        <w:t>. </w:t>
      </w:r>
    </w:p>
    <w:p w14:paraId="0CBC24E0" w14:textId="60218F9A" w:rsidR="009935FB" w:rsidRPr="009935FB" w:rsidRDefault="000B2BD9" w:rsidP="000B2BD9">
      <w:pPr>
        <w:spacing w:line="360" w:lineRule="auto"/>
        <w:rPr>
          <w:rFonts w:ascii="Segoe UI" w:eastAsia="Times New Roman" w:hAnsi="Segoe UI" w:cs="Segoe UI"/>
          <w:sz w:val="18"/>
          <w:szCs w:val="18"/>
          <w:lang w:eastAsia="ja-JP"/>
        </w:rPr>
      </w:pPr>
      <w:r>
        <w:rPr>
          <w:rFonts w:eastAsia="Times New Roman" w:cs="Arial"/>
          <w:szCs w:val="24"/>
          <w:lang w:eastAsia="ja-JP"/>
        </w:rPr>
        <w:t xml:space="preserve">Der </w:t>
      </w:r>
      <w:r w:rsidRPr="00AC0162">
        <w:rPr>
          <w:rFonts w:eastAsia="Times New Roman" w:cs="Arial"/>
          <w:b/>
          <w:bCs/>
          <w:szCs w:val="24"/>
          <w:lang w:eastAsia="ja-JP"/>
        </w:rPr>
        <w:t>Han</w:t>
      </w:r>
      <w:r w:rsidRPr="00AC0162">
        <w:rPr>
          <w:rFonts w:eastAsia="Times New Roman" w:cs="Arial"/>
          <w:b/>
          <w:bCs/>
          <w:szCs w:val="24"/>
          <w:vertAlign w:val="superscript"/>
          <w:lang w:eastAsia="ja-JP"/>
        </w:rPr>
        <w:t>®</w:t>
      </w:r>
      <w:r w:rsidRPr="00AC0162">
        <w:rPr>
          <w:rFonts w:eastAsia="Times New Roman" w:cs="Arial"/>
          <w:b/>
          <w:bCs/>
          <w:szCs w:val="24"/>
          <w:lang w:eastAsia="ja-JP"/>
        </w:rPr>
        <w:t xml:space="preserve"> S</w:t>
      </w:r>
      <w:r>
        <w:rPr>
          <w:rFonts w:eastAsia="Times New Roman" w:cs="Arial"/>
          <w:szCs w:val="24"/>
          <w:lang w:eastAsia="ja-JP"/>
        </w:rPr>
        <w:t xml:space="preserve"> </w:t>
      </w:r>
      <w:r w:rsidR="009935FB" w:rsidRPr="009935FB">
        <w:rPr>
          <w:rFonts w:eastAsia="Times New Roman" w:cs="Arial"/>
          <w:szCs w:val="24"/>
          <w:lang w:eastAsia="ja-JP"/>
        </w:rPr>
        <w:t xml:space="preserve">wurde speziell für den Aufbau von Verbindungen per Frontmontage optimiert. Um die Installationszeiten für ESS weiter zu verkürzen und den Verdrahtungsaufwand vor Ort zu minimieren, bietet HARTING den </w:t>
      </w:r>
      <w:r>
        <w:rPr>
          <w:rFonts w:eastAsia="Times New Roman" w:cs="Arial"/>
          <w:szCs w:val="24"/>
          <w:lang w:eastAsia="ja-JP"/>
        </w:rPr>
        <w:t>Steckverbinder</w:t>
      </w:r>
      <w:r w:rsidR="009935FB" w:rsidRPr="009935FB">
        <w:rPr>
          <w:rFonts w:eastAsia="Times New Roman" w:cs="Arial"/>
          <w:szCs w:val="24"/>
          <w:lang w:eastAsia="ja-JP"/>
        </w:rPr>
        <w:t> jetzt in Kombination mit vorgefertigten, für die jeweilige Anwendung maßgeschneiderten Kabelkonfektionen an. </w:t>
      </w:r>
    </w:p>
    <w:p w14:paraId="28DF5BA0" w14:textId="77777777" w:rsidR="009935FB" w:rsidRPr="009935FB" w:rsidRDefault="009935FB" w:rsidP="009935FB">
      <w:pPr>
        <w:spacing w:after="0" w:line="360" w:lineRule="auto"/>
        <w:textAlignment w:val="baseline"/>
        <w:rPr>
          <w:rFonts w:ascii="Segoe UI" w:eastAsia="Times New Roman" w:hAnsi="Segoe UI" w:cs="Segoe UI"/>
          <w:sz w:val="18"/>
          <w:szCs w:val="18"/>
          <w:lang w:eastAsia="ja-JP"/>
        </w:rPr>
      </w:pPr>
      <w:r w:rsidRPr="009935FB">
        <w:rPr>
          <w:rFonts w:eastAsia="Times New Roman" w:cs="Arial"/>
          <w:szCs w:val="24"/>
          <w:lang w:eastAsia="ja-JP"/>
        </w:rPr>
        <w:t> </w:t>
      </w:r>
    </w:p>
    <w:p w14:paraId="1BCAD016" w14:textId="77777777" w:rsidR="009935FB" w:rsidRPr="009935FB" w:rsidRDefault="009935FB" w:rsidP="009935FB">
      <w:pPr>
        <w:spacing w:after="0" w:line="360" w:lineRule="auto"/>
        <w:textAlignment w:val="baseline"/>
        <w:rPr>
          <w:rFonts w:ascii="Segoe UI" w:eastAsia="Times New Roman" w:hAnsi="Segoe UI" w:cs="Segoe UI"/>
          <w:sz w:val="18"/>
          <w:szCs w:val="18"/>
          <w:lang w:eastAsia="ja-JP"/>
        </w:rPr>
      </w:pPr>
      <w:r w:rsidRPr="009935FB">
        <w:rPr>
          <w:rFonts w:eastAsia="Times New Roman" w:cs="Arial"/>
          <w:szCs w:val="24"/>
          <w:lang w:eastAsia="ja-JP"/>
        </w:rPr>
        <w:t>Die Konfektionen stehen mit Querschnitten von 25, 35 oder 50 mm² und Kabellängen von 20, 30, 40 oder 50 cm zur Verfügung. Sie eignen sich für Temperaturen zwischen -50 und +120 Grad °C. Das verwendete Material ist halogenfrei und unempfindlich gegen Ozoneinwirkungen. Die Spannungsgrenzen liegen zwischen 1,8 kV (25 mm²) und 3 kV (50 mm²) AC sowie zwischen 2,7 (25 mm²) und 4,5 kV  </w:t>
      </w:r>
      <w:r w:rsidRPr="009935FB">
        <w:rPr>
          <w:rFonts w:eastAsia="Times New Roman" w:cs="Arial"/>
          <w:szCs w:val="24"/>
          <w:lang w:eastAsia="ja-JP"/>
        </w:rPr>
        <w:br/>
        <w:t>(50 mm²) DC.  </w:t>
      </w:r>
    </w:p>
    <w:p w14:paraId="4E9D8FFE" w14:textId="77777777" w:rsidR="009935FB" w:rsidRPr="009935FB" w:rsidRDefault="009935FB" w:rsidP="009935FB">
      <w:pPr>
        <w:spacing w:after="0" w:line="360" w:lineRule="auto"/>
        <w:textAlignment w:val="baseline"/>
        <w:rPr>
          <w:rFonts w:ascii="Segoe UI" w:eastAsia="Times New Roman" w:hAnsi="Segoe UI" w:cs="Segoe UI"/>
          <w:sz w:val="18"/>
          <w:szCs w:val="18"/>
          <w:lang w:eastAsia="ja-JP"/>
        </w:rPr>
      </w:pPr>
      <w:r w:rsidRPr="009935FB">
        <w:rPr>
          <w:rFonts w:eastAsia="Times New Roman" w:cs="Arial"/>
          <w:szCs w:val="24"/>
          <w:lang w:eastAsia="ja-JP"/>
        </w:rPr>
        <w:t> </w:t>
      </w:r>
    </w:p>
    <w:p w14:paraId="0DA9DF5D" w14:textId="3BEA4D6E" w:rsidR="009935FB" w:rsidRPr="009935FB" w:rsidRDefault="009935FB" w:rsidP="009935FB">
      <w:pPr>
        <w:spacing w:after="0" w:line="360" w:lineRule="auto"/>
        <w:textAlignment w:val="baseline"/>
        <w:rPr>
          <w:rFonts w:ascii="Segoe UI" w:eastAsia="Times New Roman" w:hAnsi="Segoe UI" w:cs="Segoe UI"/>
          <w:sz w:val="18"/>
          <w:szCs w:val="18"/>
          <w:lang w:eastAsia="ja-JP"/>
        </w:rPr>
      </w:pPr>
      <w:r w:rsidRPr="009935FB">
        <w:rPr>
          <w:rFonts w:eastAsia="Times New Roman" w:cs="Arial"/>
          <w:szCs w:val="24"/>
          <w:lang w:eastAsia="ja-JP"/>
        </w:rPr>
        <w:t>Die neuen </w:t>
      </w:r>
      <w:r w:rsidRPr="009935FB">
        <w:rPr>
          <w:rFonts w:eastAsia="Times New Roman" w:cs="Arial"/>
          <w:b/>
          <w:bCs/>
          <w:szCs w:val="24"/>
          <w:lang w:eastAsia="ja-JP"/>
        </w:rPr>
        <w:t>Han</w:t>
      </w:r>
      <w:r w:rsidRPr="009935FB">
        <w:rPr>
          <w:rFonts w:ascii="Calibri" w:eastAsia="Times New Roman" w:hAnsi="Calibri" w:cs="Calibri"/>
          <w:b/>
          <w:bCs/>
          <w:sz w:val="19"/>
          <w:szCs w:val="19"/>
          <w:vertAlign w:val="superscript"/>
          <w:lang w:eastAsia="ja-JP"/>
        </w:rPr>
        <w:t>®</w:t>
      </w:r>
      <w:r w:rsidRPr="009935FB">
        <w:rPr>
          <w:rFonts w:eastAsia="Times New Roman" w:cs="Arial"/>
          <w:b/>
          <w:bCs/>
          <w:szCs w:val="24"/>
          <w:lang w:eastAsia="ja-JP"/>
        </w:rPr>
        <w:t> S</w:t>
      </w:r>
      <w:r w:rsidRPr="009935FB">
        <w:rPr>
          <w:rFonts w:eastAsia="Times New Roman" w:cs="Arial"/>
          <w:szCs w:val="24"/>
          <w:lang w:eastAsia="ja-JP"/>
        </w:rPr>
        <w:t xml:space="preserve"> Kombinationen bieten für den Aufbau von Batteriespeichern optimale Sicherheit bei der Installation, da das Design alle technischen Anforderungen inklusive </w:t>
      </w:r>
      <w:r w:rsidR="00127049">
        <w:rPr>
          <w:rFonts w:eastAsia="Times New Roman" w:cs="Arial"/>
          <w:szCs w:val="24"/>
          <w:lang w:eastAsia="ja-JP"/>
        </w:rPr>
        <w:t xml:space="preserve">der </w:t>
      </w:r>
      <w:r w:rsidRPr="009935FB">
        <w:rPr>
          <w:rFonts w:eastAsia="Times New Roman" w:cs="Arial"/>
          <w:szCs w:val="24"/>
          <w:lang w:eastAsia="ja-JP"/>
        </w:rPr>
        <w:t xml:space="preserve">Normen EN 45545-2, NF F 16-101 und </w:t>
      </w:r>
      <w:r w:rsidR="00127049">
        <w:rPr>
          <w:rFonts w:eastAsia="Times New Roman" w:cs="Arial"/>
          <w:szCs w:val="24"/>
          <w:lang w:eastAsia="ja-JP"/>
        </w:rPr>
        <w:t xml:space="preserve">der </w:t>
      </w:r>
      <w:r w:rsidRPr="009935FB">
        <w:rPr>
          <w:rFonts w:eastAsia="Times New Roman" w:cs="Arial"/>
          <w:szCs w:val="24"/>
          <w:lang w:eastAsia="ja-JP"/>
        </w:rPr>
        <w:t>neue</w:t>
      </w:r>
      <w:r w:rsidR="00127049">
        <w:rPr>
          <w:rFonts w:eastAsia="Times New Roman" w:cs="Arial"/>
          <w:szCs w:val="24"/>
          <w:lang w:eastAsia="ja-JP"/>
        </w:rPr>
        <w:t>n</w:t>
      </w:r>
      <w:r w:rsidRPr="009935FB">
        <w:rPr>
          <w:rFonts w:eastAsia="Times New Roman" w:cs="Arial"/>
          <w:szCs w:val="24"/>
          <w:lang w:eastAsia="ja-JP"/>
        </w:rPr>
        <w:t> UL 4128 Norm für stationäre Energiespeichersysteme erfüllt. Bei der UL 4128 handelt es sich um den gegenwärtig höchsten vom Markt geforderten Standard.  </w:t>
      </w:r>
    </w:p>
    <w:p w14:paraId="48EAAF54" w14:textId="77777777" w:rsidR="009935FB" w:rsidRPr="009935FB" w:rsidRDefault="009935FB" w:rsidP="009935FB">
      <w:pPr>
        <w:spacing w:after="0" w:line="360" w:lineRule="auto"/>
        <w:textAlignment w:val="baseline"/>
        <w:rPr>
          <w:rFonts w:ascii="Segoe UI" w:eastAsia="Times New Roman" w:hAnsi="Segoe UI" w:cs="Segoe UI"/>
          <w:sz w:val="18"/>
          <w:szCs w:val="18"/>
          <w:lang w:eastAsia="ja-JP"/>
        </w:rPr>
      </w:pPr>
      <w:r w:rsidRPr="009935FB">
        <w:rPr>
          <w:rFonts w:eastAsia="Times New Roman" w:cs="Arial"/>
          <w:szCs w:val="24"/>
          <w:lang w:eastAsia="ja-JP"/>
        </w:rPr>
        <w:t> </w:t>
      </w:r>
    </w:p>
    <w:p w14:paraId="6E54FA5C" w14:textId="48819E8A" w:rsidR="009935FB" w:rsidRPr="009935FB" w:rsidRDefault="009935FB" w:rsidP="009935FB">
      <w:pPr>
        <w:spacing w:after="0" w:line="360" w:lineRule="auto"/>
        <w:textAlignment w:val="baseline"/>
        <w:rPr>
          <w:rFonts w:ascii="Segoe UI" w:eastAsia="Times New Roman" w:hAnsi="Segoe UI" w:cs="Segoe UI"/>
          <w:sz w:val="18"/>
          <w:szCs w:val="18"/>
          <w:lang w:eastAsia="ja-JP"/>
        </w:rPr>
      </w:pPr>
      <w:r w:rsidRPr="009935FB">
        <w:rPr>
          <w:rFonts w:eastAsia="Times New Roman" w:cs="Arial"/>
          <w:szCs w:val="24"/>
          <w:lang w:eastAsia="ja-JP"/>
        </w:rPr>
        <w:t>Weitere Details zu Han</w:t>
      </w:r>
      <w:r w:rsidRPr="009935FB">
        <w:rPr>
          <w:rFonts w:ascii="Calibri" w:eastAsia="Times New Roman" w:hAnsi="Calibri" w:cs="Calibri"/>
          <w:sz w:val="19"/>
          <w:szCs w:val="19"/>
          <w:vertAlign w:val="superscript"/>
          <w:lang w:eastAsia="ja-JP"/>
        </w:rPr>
        <w:t>®</w:t>
      </w:r>
      <w:r w:rsidRPr="009935FB">
        <w:rPr>
          <w:rFonts w:eastAsia="Times New Roman" w:cs="Arial"/>
          <w:szCs w:val="24"/>
          <w:lang w:eastAsia="ja-JP"/>
        </w:rPr>
        <w:t> S unter: </w:t>
      </w:r>
      <w:hyperlink r:id="rId8" w:tgtFrame="_blank" w:history="1">
        <w:r w:rsidRPr="009935FB">
          <w:rPr>
            <w:rFonts w:eastAsia="Times New Roman" w:cs="Arial"/>
            <w:color w:val="0000FF"/>
            <w:szCs w:val="24"/>
            <w:u w:val="single"/>
            <w:lang w:eastAsia="ja-JP"/>
          </w:rPr>
          <w:t>https://www.harting.com/DE/de/news/product/single-pole-front-mounting-connector-energy-storage</w:t>
        </w:r>
      </w:hyperlink>
      <w:r w:rsidRPr="009935FB">
        <w:rPr>
          <w:rFonts w:eastAsia="Times New Roman" w:cs="Arial"/>
          <w:szCs w:val="24"/>
          <w:lang w:eastAsia="ja-JP"/>
        </w:rPr>
        <w:t> </w:t>
      </w:r>
    </w:p>
    <w:p w14:paraId="4D159B40" w14:textId="77777777" w:rsidR="009935FB" w:rsidRPr="009935FB" w:rsidRDefault="009935FB" w:rsidP="009935FB">
      <w:pPr>
        <w:spacing w:after="0" w:line="360" w:lineRule="auto"/>
        <w:textAlignment w:val="baseline"/>
        <w:rPr>
          <w:rFonts w:ascii="Segoe UI" w:eastAsia="Times New Roman" w:hAnsi="Segoe UI" w:cs="Segoe UI"/>
          <w:sz w:val="18"/>
          <w:szCs w:val="18"/>
          <w:lang w:eastAsia="ja-JP"/>
        </w:rPr>
      </w:pPr>
      <w:r w:rsidRPr="009935FB">
        <w:rPr>
          <w:rFonts w:eastAsia="Times New Roman" w:cs="Arial"/>
          <w:szCs w:val="24"/>
          <w:lang w:eastAsia="ja-JP"/>
        </w:rPr>
        <w:lastRenderedPageBreak/>
        <w:t> </w:t>
      </w:r>
    </w:p>
    <w:p w14:paraId="64B68BC9" w14:textId="695C5F40" w:rsidR="009935FB" w:rsidRPr="009935FB" w:rsidRDefault="009935FB" w:rsidP="009935FB">
      <w:pPr>
        <w:spacing w:after="0" w:line="360" w:lineRule="auto"/>
        <w:textAlignment w:val="baseline"/>
        <w:rPr>
          <w:rFonts w:ascii="Segoe UI" w:eastAsia="Times New Roman" w:hAnsi="Segoe UI" w:cs="Segoe UI"/>
          <w:sz w:val="18"/>
          <w:szCs w:val="18"/>
          <w:lang w:eastAsia="ja-JP"/>
        </w:rPr>
      </w:pPr>
      <w:r w:rsidRPr="009935FB">
        <w:rPr>
          <w:rFonts w:eastAsia="Times New Roman" w:cs="Arial"/>
          <w:szCs w:val="24"/>
          <w:lang w:eastAsia="ja-JP"/>
        </w:rPr>
        <w:t> </w:t>
      </w:r>
      <w:r w:rsidRPr="009935FB">
        <w:rPr>
          <w:rFonts w:eastAsia="Times New Roman" w:cs="Arial"/>
          <w:b/>
          <w:bCs/>
          <w:szCs w:val="24"/>
          <w:lang w:eastAsia="ja-JP"/>
        </w:rPr>
        <w:t>300 A-Leistungsanbindung für Energiespeicher im modularen Steckverbinder </w:t>
      </w:r>
      <w:r w:rsidRPr="009935FB">
        <w:rPr>
          <w:rFonts w:eastAsia="Times New Roman" w:cs="Arial"/>
          <w:szCs w:val="24"/>
          <w:lang w:eastAsia="ja-JP"/>
        </w:rPr>
        <w:t> </w:t>
      </w:r>
    </w:p>
    <w:p w14:paraId="4A1D887E" w14:textId="77777777" w:rsidR="009935FB" w:rsidRPr="009935FB" w:rsidRDefault="009935FB" w:rsidP="009935FB">
      <w:pPr>
        <w:spacing w:after="0" w:line="360" w:lineRule="auto"/>
        <w:textAlignment w:val="baseline"/>
        <w:rPr>
          <w:rFonts w:ascii="Segoe UI" w:eastAsia="Times New Roman" w:hAnsi="Segoe UI" w:cs="Segoe UI"/>
          <w:sz w:val="18"/>
          <w:szCs w:val="18"/>
          <w:lang w:eastAsia="ja-JP"/>
        </w:rPr>
      </w:pPr>
      <w:r w:rsidRPr="009935FB">
        <w:rPr>
          <w:rFonts w:eastAsia="Times New Roman" w:cs="Arial"/>
          <w:szCs w:val="24"/>
          <w:lang w:eastAsia="ja-JP"/>
        </w:rPr>
        <w:t> </w:t>
      </w:r>
    </w:p>
    <w:p w14:paraId="6A0A27E2" w14:textId="2A3DD216" w:rsidR="009935FB" w:rsidRPr="009935FB" w:rsidRDefault="009935FB" w:rsidP="009935FB">
      <w:pPr>
        <w:spacing w:after="0" w:line="360" w:lineRule="auto"/>
        <w:textAlignment w:val="baseline"/>
        <w:rPr>
          <w:rFonts w:ascii="Segoe UI" w:eastAsia="Times New Roman" w:hAnsi="Segoe UI" w:cs="Segoe UI"/>
          <w:sz w:val="18"/>
          <w:szCs w:val="18"/>
          <w:lang w:eastAsia="ja-JP"/>
        </w:rPr>
      </w:pPr>
      <w:r w:rsidRPr="009935FB">
        <w:rPr>
          <w:rFonts w:eastAsia="Times New Roman" w:cs="Arial"/>
          <w:szCs w:val="24"/>
          <w:lang w:eastAsia="ja-JP"/>
        </w:rPr>
        <w:t xml:space="preserve">Mehr Kapazität, weniger Gewicht – das ist das Entwicklungsziel für Energiespeichersysteme (ESS). Bisherige ESS werden häufig mit 200 A/800 V DC versorgt, doch der Trend in den Anwendungen geht in Richtung höherer Energiedichte. Mehr und mehr werden Schnittstellen für Übertragungen von 300 A/1200 V DC und mehr benötigt. Um diesen Trend abzubilden, hat HARTING das 300 A Modul als Teil der modularen Steckverbinder-Reihe </w:t>
      </w:r>
      <w:r w:rsidRPr="009935FB">
        <w:rPr>
          <w:rFonts w:eastAsia="Times New Roman" w:cs="Arial"/>
          <w:b/>
          <w:bCs/>
          <w:szCs w:val="24"/>
          <w:lang w:eastAsia="ja-JP"/>
        </w:rPr>
        <w:t>Han-Modula</w:t>
      </w:r>
      <w:r w:rsidR="00AC0162">
        <w:rPr>
          <w:rFonts w:eastAsia="Times New Roman" w:cs="Arial"/>
          <w:b/>
          <w:bCs/>
          <w:szCs w:val="24"/>
          <w:lang w:eastAsia="ja-JP"/>
        </w:rPr>
        <w:t>r</w:t>
      </w:r>
      <w:r w:rsidR="00AC0162" w:rsidRPr="00AC0162">
        <w:rPr>
          <w:rFonts w:eastAsia="Times New Roman" w:cs="Arial"/>
          <w:b/>
          <w:bCs/>
          <w:szCs w:val="24"/>
          <w:vertAlign w:val="superscript"/>
          <w:lang w:eastAsia="ja-JP"/>
        </w:rPr>
        <w:t>®</w:t>
      </w:r>
      <w:r w:rsidRPr="009935FB">
        <w:rPr>
          <w:rFonts w:eastAsia="Times New Roman" w:cs="Arial"/>
          <w:sz w:val="19"/>
          <w:szCs w:val="19"/>
          <w:vertAlign w:val="superscript"/>
          <w:lang w:eastAsia="ja-JP"/>
        </w:rPr>
        <w:t> </w:t>
      </w:r>
      <w:r w:rsidRPr="009935FB">
        <w:rPr>
          <w:rFonts w:eastAsia="Times New Roman" w:cs="Arial"/>
          <w:szCs w:val="24"/>
          <w:lang w:eastAsia="ja-JP"/>
        </w:rPr>
        <w:t>entwickelt. Das ermöglicht es, die ESS parallel mit Leistung, Daten und Signalen in einer mehrere Module umfassenden Schnittstelle zu versorgen.   </w:t>
      </w:r>
    </w:p>
    <w:p w14:paraId="22A8E856" w14:textId="77777777" w:rsidR="009935FB" w:rsidRPr="009935FB" w:rsidRDefault="009935FB" w:rsidP="009935FB">
      <w:pPr>
        <w:spacing w:after="0" w:line="360" w:lineRule="auto"/>
        <w:textAlignment w:val="baseline"/>
        <w:rPr>
          <w:rFonts w:ascii="Segoe UI" w:eastAsia="Times New Roman" w:hAnsi="Segoe UI" w:cs="Segoe UI"/>
          <w:sz w:val="18"/>
          <w:szCs w:val="18"/>
          <w:lang w:eastAsia="ja-JP"/>
        </w:rPr>
      </w:pPr>
      <w:r w:rsidRPr="009935FB">
        <w:rPr>
          <w:rFonts w:eastAsia="Times New Roman" w:cs="Arial"/>
          <w:szCs w:val="24"/>
          <w:lang w:eastAsia="ja-JP"/>
        </w:rPr>
        <w:t> </w:t>
      </w:r>
    </w:p>
    <w:p w14:paraId="44E5FFE9" w14:textId="61709730" w:rsidR="009935FB" w:rsidRDefault="009935FB" w:rsidP="009935FB">
      <w:pPr>
        <w:spacing w:after="0" w:line="360" w:lineRule="auto"/>
        <w:textAlignment w:val="baseline"/>
        <w:rPr>
          <w:rFonts w:eastAsia="Times New Roman" w:cs="Arial"/>
          <w:szCs w:val="24"/>
          <w:lang w:eastAsia="ja-JP"/>
        </w:rPr>
      </w:pPr>
      <w:r w:rsidRPr="009935FB">
        <w:rPr>
          <w:rFonts w:eastAsia="Times New Roman" w:cs="Arial"/>
          <w:szCs w:val="24"/>
          <w:lang w:eastAsia="ja-JP"/>
        </w:rPr>
        <w:t xml:space="preserve">Das </w:t>
      </w:r>
      <w:r w:rsidRPr="009935FB">
        <w:rPr>
          <w:rFonts w:eastAsia="Times New Roman" w:cs="Arial"/>
          <w:b/>
          <w:bCs/>
          <w:szCs w:val="24"/>
          <w:lang w:eastAsia="ja-JP"/>
        </w:rPr>
        <w:t>Han</w:t>
      </w:r>
      <w:r w:rsidRPr="009935FB">
        <w:rPr>
          <w:rFonts w:ascii="Calibri" w:eastAsia="Times New Roman" w:hAnsi="Calibri" w:cs="Calibri"/>
          <w:b/>
          <w:bCs/>
          <w:sz w:val="19"/>
          <w:szCs w:val="19"/>
          <w:vertAlign w:val="superscript"/>
          <w:lang w:eastAsia="ja-JP"/>
        </w:rPr>
        <w:t>®</w:t>
      </w:r>
      <w:r w:rsidRPr="009935FB">
        <w:rPr>
          <w:rFonts w:eastAsia="Times New Roman" w:cs="Arial"/>
          <w:b/>
          <w:bCs/>
          <w:szCs w:val="24"/>
          <w:lang w:eastAsia="ja-JP"/>
        </w:rPr>
        <w:t> 300 A Modul</w:t>
      </w:r>
      <w:r w:rsidRPr="009935FB">
        <w:rPr>
          <w:rFonts w:eastAsia="Times New Roman" w:cs="Arial"/>
          <w:szCs w:val="24"/>
          <w:lang w:eastAsia="ja-JP"/>
        </w:rPr>
        <w:t xml:space="preserve"> eignet sich für den Anschluss neuer Energiespeicher ebenso wie für die Aufrüstung bestehender Systeme (da steckkompatibel mit dem Han</w:t>
      </w:r>
      <w:r w:rsidRPr="009935FB">
        <w:rPr>
          <w:rFonts w:ascii="Calibri" w:eastAsia="Times New Roman" w:hAnsi="Calibri" w:cs="Calibri"/>
          <w:sz w:val="19"/>
          <w:szCs w:val="19"/>
          <w:vertAlign w:val="superscript"/>
          <w:lang w:eastAsia="ja-JP"/>
        </w:rPr>
        <w:t>®</w:t>
      </w:r>
      <w:r w:rsidRPr="009935FB">
        <w:rPr>
          <w:rFonts w:eastAsia="Times New Roman" w:cs="Arial"/>
          <w:szCs w:val="24"/>
          <w:lang w:eastAsia="ja-JP"/>
        </w:rPr>
        <w:t> 200 A Modul). Ausgestattet mit berührsicheren Kontakten lässt es sich direkt an die Stromschiene anbinden oder in schubladenförmige Speichereinheiten integrieren. </w:t>
      </w:r>
    </w:p>
    <w:p w14:paraId="3764E946" w14:textId="3555FE4B" w:rsidR="00436057" w:rsidRDefault="00436057" w:rsidP="009935FB">
      <w:pPr>
        <w:spacing w:after="0" w:line="360" w:lineRule="auto"/>
        <w:textAlignment w:val="baseline"/>
        <w:rPr>
          <w:rFonts w:eastAsia="Times New Roman" w:cs="Arial"/>
          <w:szCs w:val="24"/>
          <w:lang w:eastAsia="ja-JP"/>
        </w:rPr>
      </w:pPr>
    </w:p>
    <w:p w14:paraId="0FDC866D" w14:textId="158F920B" w:rsidR="00436057" w:rsidRPr="00AE26FF" w:rsidRDefault="00436057" w:rsidP="00436057">
      <w:pPr>
        <w:spacing w:line="360" w:lineRule="auto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1A1DBCFF" wp14:editId="01E83B5D">
            <wp:extent cx="5400675" cy="277177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szCs w:val="24"/>
        </w:rPr>
        <w:br/>
      </w:r>
      <w:r w:rsidRPr="00AE26FF">
        <w:rPr>
          <w:rFonts w:cs="Arial"/>
          <w:b/>
          <w:bCs/>
          <w:szCs w:val="24"/>
        </w:rPr>
        <w:t xml:space="preserve">Bildzeile: </w:t>
      </w:r>
      <w:r w:rsidR="00C31ECF" w:rsidRPr="00252345">
        <w:rPr>
          <w:rFonts w:cs="Arial"/>
          <w:szCs w:val="24"/>
        </w:rPr>
        <w:t>Han</w:t>
      </w:r>
      <w:r w:rsidR="00C31ECF" w:rsidRPr="00252345">
        <w:rPr>
          <w:rFonts w:cs="Arial"/>
          <w:szCs w:val="24"/>
          <w:vertAlign w:val="superscript"/>
        </w:rPr>
        <w:t>®</w:t>
      </w:r>
      <w:r w:rsidR="00C31ECF" w:rsidRPr="00252345">
        <w:rPr>
          <w:rFonts w:cs="Arial"/>
          <w:szCs w:val="24"/>
        </w:rPr>
        <w:t xml:space="preserve"> S beschleunigt den Aufbau von Energiespeichern auf Basis von Batterie-Modulen: hier als vorgefertigte Kabelkonfektion für 200 A.</w:t>
      </w:r>
    </w:p>
    <w:p w14:paraId="3F09513F" w14:textId="271B4548" w:rsidR="00436057" w:rsidRPr="009935FB" w:rsidRDefault="00922756" w:rsidP="009935FB">
      <w:pPr>
        <w:spacing w:after="0" w:line="360" w:lineRule="auto"/>
        <w:textAlignment w:val="baseline"/>
        <w:rPr>
          <w:rFonts w:ascii="Segoe UI" w:eastAsia="Times New Roman" w:hAnsi="Segoe UI" w:cs="Segoe UI"/>
          <w:sz w:val="18"/>
          <w:szCs w:val="18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AC513F2" wp14:editId="195F360E">
            <wp:simplePos x="0" y="0"/>
            <wp:positionH relativeFrom="margin">
              <wp:posOffset>4784090</wp:posOffset>
            </wp:positionH>
            <wp:positionV relativeFrom="paragraph">
              <wp:posOffset>47625</wp:posOffset>
            </wp:positionV>
            <wp:extent cx="1514475" cy="1341755"/>
            <wp:effectExtent l="0" t="0" r="9525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CFA">
        <w:rPr>
          <w:noProof/>
        </w:rPr>
        <w:drawing>
          <wp:anchor distT="0" distB="0" distL="114300" distR="114300" simplePos="0" relativeHeight="251660288" behindDoc="0" locked="0" layoutInCell="1" allowOverlap="1" wp14:anchorId="1BA6316E" wp14:editId="2E381074">
            <wp:simplePos x="0" y="0"/>
            <wp:positionH relativeFrom="margin">
              <wp:posOffset>1488440</wp:posOffset>
            </wp:positionH>
            <wp:positionV relativeFrom="paragraph">
              <wp:posOffset>6985</wp:posOffset>
            </wp:positionV>
            <wp:extent cx="1318895" cy="1323975"/>
            <wp:effectExtent l="0" t="0" r="0" b="952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CFA">
        <w:rPr>
          <w:noProof/>
        </w:rPr>
        <w:drawing>
          <wp:anchor distT="0" distB="0" distL="114300" distR="114300" simplePos="0" relativeHeight="251659264" behindDoc="0" locked="0" layoutInCell="1" allowOverlap="1" wp14:anchorId="562E4ABD" wp14:editId="6FA55F55">
            <wp:simplePos x="0" y="0"/>
            <wp:positionH relativeFrom="page">
              <wp:posOffset>4019550</wp:posOffset>
            </wp:positionH>
            <wp:positionV relativeFrom="paragraph">
              <wp:posOffset>83820</wp:posOffset>
            </wp:positionV>
            <wp:extent cx="1476375" cy="1225550"/>
            <wp:effectExtent l="0" t="0" r="9525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4D7">
        <w:rPr>
          <w:noProof/>
        </w:rPr>
        <w:drawing>
          <wp:anchor distT="0" distB="0" distL="114300" distR="114300" simplePos="0" relativeHeight="251658240" behindDoc="1" locked="0" layoutInCell="1" allowOverlap="1" wp14:anchorId="1DEB2658" wp14:editId="4E8219D9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1341148" cy="1257300"/>
            <wp:effectExtent l="0" t="0" r="0" b="0"/>
            <wp:wrapTight wrapText="bothSides">
              <wp:wrapPolygon edited="0">
                <wp:start x="0" y="0"/>
                <wp:lineTo x="0" y="21273"/>
                <wp:lineTo x="21170" y="21273"/>
                <wp:lineTo x="2117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4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CBA2A3" w14:textId="77777777" w:rsidR="004104D7" w:rsidRDefault="004104D7" w:rsidP="00827564">
      <w:pPr>
        <w:rPr>
          <w:rFonts w:cs="Arial"/>
          <w:b/>
          <w:bCs/>
          <w:szCs w:val="24"/>
        </w:rPr>
      </w:pPr>
    </w:p>
    <w:p w14:paraId="3DE10189" w14:textId="2915473A" w:rsidR="00827564" w:rsidRPr="00252345" w:rsidRDefault="00827564" w:rsidP="00827564">
      <w:pPr>
        <w:rPr>
          <w:rFonts w:ascii="Calibri" w:hAnsi="Calibri"/>
          <w:sz w:val="22"/>
        </w:rPr>
      </w:pPr>
      <w:r w:rsidRPr="00252345">
        <w:rPr>
          <w:rFonts w:cs="Arial"/>
          <w:b/>
          <w:bCs/>
          <w:szCs w:val="24"/>
        </w:rPr>
        <w:t xml:space="preserve">Bildzeile: </w:t>
      </w:r>
      <w:r w:rsidRPr="00252345">
        <w:t>Das Han</w:t>
      </w:r>
      <w:r w:rsidRPr="00252345">
        <w:rPr>
          <w:vertAlign w:val="superscript"/>
        </w:rPr>
        <w:t>®</w:t>
      </w:r>
      <w:r w:rsidRPr="00252345">
        <w:t xml:space="preserve"> 300 A Modul</w:t>
      </w:r>
      <w:r w:rsidR="00F902DC" w:rsidRPr="00252345">
        <w:t>:</w:t>
      </w:r>
      <w:r w:rsidRPr="00252345">
        <w:t xml:space="preserve"> </w:t>
      </w:r>
      <w:r w:rsidR="00F902DC" w:rsidRPr="00252345">
        <w:t xml:space="preserve">die </w:t>
      </w:r>
      <w:r w:rsidRPr="00252345">
        <w:t xml:space="preserve">kürzere Variante </w:t>
      </w:r>
      <w:r w:rsidR="00F902DC" w:rsidRPr="00252345">
        <w:t xml:space="preserve">ist </w:t>
      </w:r>
      <w:r w:rsidRPr="00252345">
        <w:t xml:space="preserve">mit </w:t>
      </w:r>
      <w:proofErr w:type="spellStart"/>
      <w:r w:rsidRPr="00252345">
        <w:t>Crimpanschluss</w:t>
      </w:r>
      <w:proofErr w:type="spellEnd"/>
      <w:r w:rsidR="004104D7" w:rsidRPr="00252345">
        <w:t xml:space="preserve"> </w:t>
      </w:r>
      <w:r w:rsidR="00F902DC" w:rsidRPr="00252345">
        <w:t xml:space="preserve">ausgestattet </w:t>
      </w:r>
      <w:r w:rsidR="004104D7" w:rsidRPr="00252345">
        <w:t>(links)</w:t>
      </w:r>
      <w:r w:rsidRPr="00252345">
        <w:t xml:space="preserve">, </w:t>
      </w:r>
      <w:r w:rsidR="00F902DC" w:rsidRPr="00252345">
        <w:t>die längere</w:t>
      </w:r>
      <w:r w:rsidRPr="00252345">
        <w:t xml:space="preserve"> mit Axialschraubanschluss</w:t>
      </w:r>
      <w:r w:rsidR="004104D7" w:rsidRPr="00252345">
        <w:t xml:space="preserve"> (rechts)</w:t>
      </w:r>
    </w:p>
    <w:p w14:paraId="01AD41A2" w14:textId="77777777" w:rsidR="009935FB" w:rsidRDefault="009935FB" w:rsidP="00EB6695">
      <w:pPr>
        <w:spacing w:line="360" w:lineRule="auto"/>
      </w:pPr>
    </w:p>
    <w:p w14:paraId="465A672C" w14:textId="5043BFB6" w:rsidR="00EB6695" w:rsidRDefault="00EB6695" w:rsidP="00EB6695">
      <w:r>
        <w:rPr>
          <w:b/>
        </w:rPr>
        <w:t>Über HARTING:</w:t>
      </w:r>
    </w:p>
    <w:p w14:paraId="1534E1EC" w14:textId="77777777" w:rsidR="00EB6695" w:rsidRDefault="00EB6695" w:rsidP="00EB6695">
      <w:pPr>
        <w:spacing w:after="0" w:line="360" w:lineRule="auto"/>
      </w:pPr>
      <w:r>
        <w:t xml:space="preserve">Die HARTING Technologiegruppe ist ein weltweit führender Anbieter von industrieller Verbindungstechnik für die drei Lebensadern „Data“, „Signal“ und „Power“ mit </w:t>
      </w:r>
      <w:r>
        <w:br/>
        <w:t xml:space="preserve">14 Produktionsstätten und Niederlassungen in 44 Ländern. Darüber hinaus stellt das Unternehmen auch Kassenzonen für den Einzelhandel, elektromagnetische Aktuatoren für den </w:t>
      </w:r>
      <w:proofErr w:type="spellStart"/>
      <w:r>
        <w:t>automotiven</w:t>
      </w:r>
      <w:proofErr w:type="spellEnd"/>
      <w:r>
        <w:t xml:space="preserve"> und industriellen Serieneinsatz, Ladeequipment für Elektrofahrzeuge sowie Hard- und Software für Kunden und Anwendungen u. a. in der Automatisierungs-technik, im Maschinen- und Anlagenbau, in der Robotik und im Bereich Transportation her. Rund 5.500 Mitarbeitende erwirtschafteten 2019/20 einen Umsatz von 759 Mio. Euro.</w:t>
      </w:r>
    </w:p>
    <w:p w14:paraId="28CBD388" w14:textId="77777777" w:rsidR="00EB6695" w:rsidRDefault="00EB6695" w:rsidP="00EB6695">
      <w:pPr>
        <w:spacing w:after="0" w:line="360" w:lineRule="auto"/>
      </w:pPr>
    </w:p>
    <w:p w14:paraId="2E7ED61C" w14:textId="77777777" w:rsidR="00EB6695" w:rsidRDefault="00EB6695" w:rsidP="00EB6695">
      <w:pPr>
        <w:spacing w:line="240" w:lineRule="auto"/>
        <w:rPr>
          <w:rFonts w:cs="Arial"/>
          <w:u w:val="single"/>
        </w:rPr>
      </w:pPr>
      <w:r>
        <w:rPr>
          <w:rFonts w:cs="Arial"/>
          <w:b/>
          <w:u w:val="single"/>
        </w:rPr>
        <w:t>Kontakt:</w:t>
      </w:r>
    </w:p>
    <w:p w14:paraId="52E8B182" w14:textId="77777777" w:rsidR="00EB6695" w:rsidRDefault="00EB6695" w:rsidP="00EB6695">
      <w:pPr>
        <w:spacing w:line="240" w:lineRule="auto"/>
        <w:rPr>
          <w:rFonts w:cs="Arial"/>
        </w:rPr>
      </w:pPr>
      <w:r>
        <w:rPr>
          <w:rFonts w:cs="Arial"/>
        </w:rPr>
        <w:t>HARTING Stiftung &amp; Co. KG</w:t>
      </w:r>
      <w:r>
        <w:rPr>
          <w:rFonts w:cs="Arial"/>
        </w:rPr>
        <w:br/>
        <w:t>Detlef Sieverdingbeck</w:t>
      </w:r>
      <w:r>
        <w:rPr>
          <w:rFonts w:cs="Arial"/>
        </w:rPr>
        <w:br/>
        <w:t>Zentralbereichsleiter</w:t>
      </w:r>
      <w:r>
        <w:rPr>
          <w:rFonts w:cs="Arial"/>
        </w:rPr>
        <w:br/>
      </w:r>
      <w:r>
        <w:rPr>
          <w:rFonts w:eastAsiaTheme="minorEastAsia" w:cs="Arial"/>
          <w:noProof/>
        </w:rPr>
        <w:t>Corporate Communication &amp; Branding (CCB)</w:t>
      </w:r>
      <w:r>
        <w:rPr>
          <w:rFonts w:eastAsiaTheme="minorEastAsia" w:cs="Arial"/>
          <w:noProof/>
        </w:rPr>
        <w:br/>
      </w:r>
      <w:proofErr w:type="spellStart"/>
      <w:r>
        <w:rPr>
          <w:rFonts w:cs="Arial"/>
        </w:rPr>
        <w:t>Marienwerderstr</w:t>
      </w:r>
      <w:proofErr w:type="spellEnd"/>
      <w:r>
        <w:rPr>
          <w:rFonts w:cs="Arial"/>
        </w:rPr>
        <w:t>. 3</w:t>
      </w:r>
    </w:p>
    <w:p w14:paraId="43EEB10D" w14:textId="77777777" w:rsidR="00EB6695" w:rsidRDefault="00EB6695" w:rsidP="00EB6695">
      <w:pPr>
        <w:spacing w:line="240" w:lineRule="auto"/>
        <w:rPr>
          <w:rFonts w:cs="Arial"/>
        </w:rPr>
      </w:pPr>
      <w:r>
        <w:rPr>
          <w:rFonts w:cs="Arial"/>
        </w:rPr>
        <w:t>32339 Espelkamp</w:t>
      </w:r>
    </w:p>
    <w:p w14:paraId="75096971" w14:textId="080C30A0" w:rsidR="00C774CA" w:rsidRDefault="00EB6695" w:rsidP="0002519F">
      <w:pPr>
        <w:spacing w:line="240" w:lineRule="auto"/>
        <w:rPr>
          <w:rStyle w:val="Hyperlink"/>
        </w:rPr>
      </w:pPr>
      <w:r>
        <w:rPr>
          <w:rFonts w:cs="Arial"/>
        </w:rPr>
        <w:t>Tel.: 05772 47-244</w:t>
      </w:r>
      <w:r>
        <w:rPr>
          <w:rFonts w:cs="Arial"/>
        </w:rPr>
        <w:br/>
        <w:t>Fax: 05772 47-400</w:t>
      </w:r>
      <w:r>
        <w:rPr>
          <w:rFonts w:cs="Arial"/>
        </w:rPr>
        <w:br/>
      </w:r>
      <w:hyperlink r:id="rId14" w:history="1">
        <w:r>
          <w:rPr>
            <w:rStyle w:val="Hyperlink"/>
            <w:rFonts w:cs="Arial"/>
          </w:rPr>
          <w:t>Detlef.Sieverdingbeck@HARTING.com</w:t>
        </w:r>
      </w:hyperlink>
      <w:r>
        <w:br/>
      </w:r>
      <w:r>
        <w:rPr>
          <w:rFonts w:cs="Arial"/>
        </w:rPr>
        <w:t xml:space="preserve">Weitere Informationen: </w:t>
      </w:r>
      <w:hyperlink r:id="rId15" w:history="1">
        <w:r>
          <w:rPr>
            <w:rStyle w:val="Hyperlink"/>
            <w:rFonts w:cs="Arial"/>
          </w:rPr>
          <w:t>www.</w:t>
        </w:r>
        <w:r>
          <w:rPr>
            <w:rStyle w:val="Hyperlink"/>
          </w:rPr>
          <w:t>HARTING.com</w:t>
        </w:r>
      </w:hyperlink>
    </w:p>
    <w:sectPr w:rsidR="00C774CA" w:rsidSect="002C38B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2658" w:right="964" w:bottom="1134" w:left="1361" w:header="70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C50479" w14:textId="77777777" w:rsidR="006F176E" w:rsidRDefault="006F176E" w:rsidP="001A06E0">
      <w:pPr>
        <w:spacing w:after="0" w:line="240" w:lineRule="auto"/>
      </w:pPr>
      <w:r>
        <w:separator/>
      </w:r>
    </w:p>
  </w:endnote>
  <w:endnote w:type="continuationSeparator" w:id="0">
    <w:p w14:paraId="4763737A" w14:textId="77777777" w:rsidR="006F176E" w:rsidRDefault="006F176E" w:rsidP="001A0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B9541" w14:textId="77777777" w:rsidR="00F902DC" w:rsidRDefault="00F902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0C433" w14:textId="77777777" w:rsidR="00F902DC" w:rsidRDefault="00F902D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EF52F" w14:textId="77777777" w:rsidR="00F902DC" w:rsidRDefault="00F902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506888" w14:textId="77777777" w:rsidR="006F176E" w:rsidRDefault="006F176E" w:rsidP="001A06E0">
      <w:pPr>
        <w:spacing w:after="0" w:line="240" w:lineRule="auto"/>
      </w:pPr>
      <w:r>
        <w:separator/>
      </w:r>
    </w:p>
  </w:footnote>
  <w:footnote w:type="continuationSeparator" w:id="0">
    <w:p w14:paraId="0FE414FF" w14:textId="77777777" w:rsidR="006F176E" w:rsidRDefault="006F176E" w:rsidP="001A0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201B11" w14:textId="77777777" w:rsidR="00F902DC" w:rsidRDefault="00F902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E4DB7" w14:textId="77777777" w:rsidR="002D4B0F" w:rsidRDefault="002D4B0F" w:rsidP="00A9382E">
    <w:pPr>
      <w:pStyle w:val="Titel"/>
    </w:pPr>
    <w:r w:rsidRPr="00A9382E"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249C84F6" wp14:editId="23A59002">
          <wp:simplePos x="0" y="0"/>
          <wp:positionH relativeFrom="column">
            <wp:posOffset>-853440</wp:posOffset>
          </wp:positionH>
          <wp:positionV relativeFrom="paragraph">
            <wp:posOffset>-440690</wp:posOffset>
          </wp:positionV>
          <wp:extent cx="7560000" cy="1080000"/>
          <wp:effectExtent l="0" t="0" r="3175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-03_Kopf Pressebog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382E">
      <w:t>Presseinformation</w:t>
    </w:r>
  </w:p>
  <w:p w14:paraId="05782672" w14:textId="2145FDCE" w:rsidR="002D4B0F" w:rsidRPr="008724CD" w:rsidRDefault="00EB6695" w:rsidP="00E916B2">
    <w:pPr>
      <w:spacing w:before="960" w:after="0"/>
      <w:jc w:val="right"/>
      <w:rPr>
        <w:sz w:val="20"/>
        <w:szCs w:val="20"/>
      </w:rPr>
    </w:pPr>
    <w:r>
      <w:rPr>
        <w:sz w:val="20"/>
        <w:szCs w:val="20"/>
      </w:rPr>
      <w:t>November</w:t>
    </w:r>
    <w:r w:rsidR="00AC3485">
      <w:rPr>
        <w:sz w:val="20"/>
        <w:szCs w:val="20"/>
      </w:rPr>
      <w:t xml:space="preserve"> </w:t>
    </w:r>
    <w:r w:rsidR="002D4B0F" w:rsidRPr="008724CD">
      <w:rPr>
        <w:sz w:val="20"/>
        <w:szCs w:val="20"/>
      </w:rPr>
      <w:t>20</w:t>
    </w:r>
    <w:r w:rsidR="009D6980">
      <w:rPr>
        <w:sz w:val="20"/>
        <w:szCs w:val="20"/>
      </w:rPr>
      <w:t>21</w:t>
    </w:r>
    <w:r w:rsidR="002D4B0F" w:rsidRPr="008724CD">
      <w:rPr>
        <w:sz w:val="20"/>
        <w:szCs w:val="20"/>
      </w:rPr>
      <w:t xml:space="preserve">, Seite </w:t>
    </w:r>
    <w:r w:rsidR="002D4B0F" w:rsidRPr="008724CD">
      <w:rPr>
        <w:rStyle w:val="Seitenzahl"/>
        <w:rFonts w:cs="Arial"/>
        <w:sz w:val="20"/>
        <w:szCs w:val="20"/>
      </w:rPr>
      <w:fldChar w:fldCharType="begin"/>
    </w:r>
    <w:r w:rsidR="002D4B0F" w:rsidRPr="008724CD">
      <w:rPr>
        <w:rStyle w:val="Seitenzahl"/>
        <w:rFonts w:cs="Arial"/>
        <w:sz w:val="20"/>
        <w:szCs w:val="20"/>
      </w:rPr>
      <w:instrText xml:space="preserve"> PAGE </w:instrText>
    </w:r>
    <w:r w:rsidR="002D4B0F" w:rsidRPr="008724CD">
      <w:rPr>
        <w:rStyle w:val="Seitenzahl"/>
        <w:rFonts w:cs="Arial"/>
        <w:sz w:val="20"/>
        <w:szCs w:val="20"/>
      </w:rPr>
      <w:fldChar w:fldCharType="separate"/>
    </w:r>
    <w:r w:rsidR="009F727A">
      <w:rPr>
        <w:rStyle w:val="Seitenzahl"/>
        <w:rFonts w:cs="Arial"/>
        <w:noProof/>
        <w:sz w:val="20"/>
        <w:szCs w:val="20"/>
      </w:rPr>
      <w:t>2</w:t>
    </w:r>
    <w:r w:rsidR="002D4B0F" w:rsidRPr="008724CD">
      <w:rPr>
        <w:rStyle w:val="Seitenzahl"/>
        <w:rFonts w:cs="Arial"/>
        <w:sz w:val="20"/>
        <w:szCs w:val="20"/>
      </w:rPr>
      <w:fldChar w:fldCharType="end"/>
    </w:r>
    <w:r w:rsidR="002D4B0F">
      <w:rPr>
        <w:rStyle w:val="Seitenzahl"/>
        <w:rFonts w:cs="Arial"/>
        <w:szCs w:val="20"/>
      </w:rPr>
      <w:t xml:space="preserve"> /</w:t>
    </w:r>
    <w:r w:rsidR="002D4B0F" w:rsidRPr="008724CD">
      <w:rPr>
        <w:rStyle w:val="Seitenzahl"/>
        <w:rFonts w:cs="Arial"/>
        <w:sz w:val="20"/>
        <w:szCs w:val="20"/>
      </w:rPr>
      <w:t xml:space="preserve"> </w:t>
    </w:r>
    <w:r w:rsidR="002D4B0F" w:rsidRPr="008724CD">
      <w:rPr>
        <w:rStyle w:val="Seitenzahl"/>
        <w:rFonts w:cs="Arial"/>
        <w:sz w:val="20"/>
        <w:szCs w:val="20"/>
      </w:rPr>
      <w:fldChar w:fldCharType="begin"/>
    </w:r>
    <w:r w:rsidR="002D4B0F" w:rsidRPr="008724CD">
      <w:rPr>
        <w:rStyle w:val="Seitenzahl"/>
        <w:rFonts w:cs="Arial"/>
        <w:sz w:val="20"/>
        <w:szCs w:val="20"/>
      </w:rPr>
      <w:instrText xml:space="preserve"> NUMPAGES </w:instrText>
    </w:r>
    <w:r w:rsidR="002D4B0F" w:rsidRPr="008724CD">
      <w:rPr>
        <w:rStyle w:val="Seitenzahl"/>
        <w:rFonts w:cs="Arial"/>
        <w:sz w:val="20"/>
        <w:szCs w:val="20"/>
      </w:rPr>
      <w:fldChar w:fldCharType="separate"/>
    </w:r>
    <w:r w:rsidR="009F727A">
      <w:rPr>
        <w:rStyle w:val="Seitenzahl"/>
        <w:rFonts w:cs="Arial"/>
        <w:noProof/>
        <w:sz w:val="20"/>
        <w:szCs w:val="20"/>
      </w:rPr>
      <w:t>2</w:t>
    </w:r>
    <w:r w:rsidR="002D4B0F" w:rsidRPr="008724CD">
      <w:rPr>
        <w:rStyle w:val="Seitenzahl"/>
        <w:rFonts w:cs="Arial"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BDD76" w14:textId="77777777" w:rsidR="00F902DC" w:rsidRDefault="00F902D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336428"/>
    <w:multiLevelType w:val="hybridMultilevel"/>
    <w:tmpl w:val="59DCEA72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5EE5C30"/>
    <w:multiLevelType w:val="hybridMultilevel"/>
    <w:tmpl w:val="D86EA7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80460"/>
    <w:multiLevelType w:val="hybridMultilevel"/>
    <w:tmpl w:val="22545A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E575E2"/>
    <w:multiLevelType w:val="hybridMultilevel"/>
    <w:tmpl w:val="7BC828FC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9CD"/>
    <w:rsid w:val="000009CD"/>
    <w:rsid w:val="00005DCD"/>
    <w:rsid w:val="00011E09"/>
    <w:rsid w:val="0002075C"/>
    <w:rsid w:val="0002519F"/>
    <w:rsid w:val="00032286"/>
    <w:rsid w:val="000413B8"/>
    <w:rsid w:val="00041E42"/>
    <w:rsid w:val="00043736"/>
    <w:rsid w:val="0004673F"/>
    <w:rsid w:val="00051796"/>
    <w:rsid w:val="00057C84"/>
    <w:rsid w:val="000638D6"/>
    <w:rsid w:val="00066487"/>
    <w:rsid w:val="00066CE9"/>
    <w:rsid w:val="00074EF3"/>
    <w:rsid w:val="00080992"/>
    <w:rsid w:val="00087C42"/>
    <w:rsid w:val="00092A8B"/>
    <w:rsid w:val="000941AB"/>
    <w:rsid w:val="00095E68"/>
    <w:rsid w:val="000A5AAB"/>
    <w:rsid w:val="000B2BD9"/>
    <w:rsid w:val="000B2F09"/>
    <w:rsid w:val="000B503C"/>
    <w:rsid w:val="000C0421"/>
    <w:rsid w:val="000C0B44"/>
    <w:rsid w:val="000C493C"/>
    <w:rsid w:val="000D0E71"/>
    <w:rsid w:val="000D3604"/>
    <w:rsid w:val="000E0627"/>
    <w:rsid w:val="000E33BF"/>
    <w:rsid w:val="000F47DF"/>
    <w:rsid w:val="0010083A"/>
    <w:rsid w:val="001029FF"/>
    <w:rsid w:val="00103964"/>
    <w:rsid w:val="0010677D"/>
    <w:rsid w:val="00112F82"/>
    <w:rsid w:val="001133CA"/>
    <w:rsid w:val="0011357B"/>
    <w:rsid w:val="00120248"/>
    <w:rsid w:val="00127049"/>
    <w:rsid w:val="001515D9"/>
    <w:rsid w:val="00161256"/>
    <w:rsid w:val="001626B5"/>
    <w:rsid w:val="00165EB6"/>
    <w:rsid w:val="00171C59"/>
    <w:rsid w:val="001848F2"/>
    <w:rsid w:val="001A06E0"/>
    <w:rsid w:val="001A1AC4"/>
    <w:rsid w:val="001A5D69"/>
    <w:rsid w:val="001A675A"/>
    <w:rsid w:val="001B1FE1"/>
    <w:rsid w:val="001C002A"/>
    <w:rsid w:val="001C392A"/>
    <w:rsid w:val="001D3386"/>
    <w:rsid w:val="001E30C2"/>
    <w:rsid w:val="001F7888"/>
    <w:rsid w:val="001F7C54"/>
    <w:rsid w:val="00207B86"/>
    <w:rsid w:val="002111DB"/>
    <w:rsid w:val="0021432E"/>
    <w:rsid w:val="0022477A"/>
    <w:rsid w:val="002278FB"/>
    <w:rsid w:val="00233422"/>
    <w:rsid w:val="00247A17"/>
    <w:rsid w:val="00251543"/>
    <w:rsid w:val="00252345"/>
    <w:rsid w:val="00265BFC"/>
    <w:rsid w:val="00265C1B"/>
    <w:rsid w:val="00285D1B"/>
    <w:rsid w:val="002915D3"/>
    <w:rsid w:val="00291911"/>
    <w:rsid w:val="002A3208"/>
    <w:rsid w:val="002B316A"/>
    <w:rsid w:val="002C38B2"/>
    <w:rsid w:val="002C578E"/>
    <w:rsid w:val="002C645D"/>
    <w:rsid w:val="002C657D"/>
    <w:rsid w:val="002C6A12"/>
    <w:rsid w:val="002D0838"/>
    <w:rsid w:val="002D4B0F"/>
    <w:rsid w:val="002D714D"/>
    <w:rsid w:val="002F5307"/>
    <w:rsid w:val="00300B8D"/>
    <w:rsid w:val="0031148D"/>
    <w:rsid w:val="00313819"/>
    <w:rsid w:val="00314E5F"/>
    <w:rsid w:val="00320915"/>
    <w:rsid w:val="003278B6"/>
    <w:rsid w:val="00334162"/>
    <w:rsid w:val="003422C3"/>
    <w:rsid w:val="00345E9D"/>
    <w:rsid w:val="0035647F"/>
    <w:rsid w:val="00363572"/>
    <w:rsid w:val="00363621"/>
    <w:rsid w:val="0036435F"/>
    <w:rsid w:val="003656CB"/>
    <w:rsid w:val="003763FD"/>
    <w:rsid w:val="00384A80"/>
    <w:rsid w:val="00394315"/>
    <w:rsid w:val="0039679B"/>
    <w:rsid w:val="003A04E2"/>
    <w:rsid w:val="003A05CA"/>
    <w:rsid w:val="003A12F0"/>
    <w:rsid w:val="003A7145"/>
    <w:rsid w:val="003C5F38"/>
    <w:rsid w:val="003D0A01"/>
    <w:rsid w:val="003E3053"/>
    <w:rsid w:val="003E3AB4"/>
    <w:rsid w:val="003F4FD3"/>
    <w:rsid w:val="003F500A"/>
    <w:rsid w:val="00401EA3"/>
    <w:rsid w:val="00403516"/>
    <w:rsid w:val="004104D7"/>
    <w:rsid w:val="00414064"/>
    <w:rsid w:val="00432158"/>
    <w:rsid w:val="0043366B"/>
    <w:rsid w:val="00436057"/>
    <w:rsid w:val="0044125F"/>
    <w:rsid w:val="00441BB6"/>
    <w:rsid w:val="004422F4"/>
    <w:rsid w:val="004524BB"/>
    <w:rsid w:val="0045659D"/>
    <w:rsid w:val="00456E1A"/>
    <w:rsid w:val="00461933"/>
    <w:rsid w:val="00463FD7"/>
    <w:rsid w:val="004641BD"/>
    <w:rsid w:val="00470CE5"/>
    <w:rsid w:val="00475235"/>
    <w:rsid w:val="004848E3"/>
    <w:rsid w:val="004953AC"/>
    <w:rsid w:val="004A58A3"/>
    <w:rsid w:val="004C4600"/>
    <w:rsid w:val="004F26B0"/>
    <w:rsid w:val="00514B8B"/>
    <w:rsid w:val="00523FC3"/>
    <w:rsid w:val="00527457"/>
    <w:rsid w:val="0053567D"/>
    <w:rsid w:val="0054456C"/>
    <w:rsid w:val="005459AC"/>
    <w:rsid w:val="0055232C"/>
    <w:rsid w:val="005652E3"/>
    <w:rsid w:val="00571925"/>
    <w:rsid w:val="00576A13"/>
    <w:rsid w:val="005805F6"/>
    <w:rsid w:val="00586079"/>
    <w:rsid w:val="00592331"/>
    <w:rsid w:val="00595EB4"/>
    <w:rsid w:val="005A73D9"/>
    <w:rsid w:val="005A78DA"/>
    <w:rsid w:val="005B4513"/>
    <w:rsid w:val="005C010F"/>
    <w:rsid w:val="005C0ADD"/>
    <w:rsid w:val="005C289C"/>
    <w:rsid w:val="005C6C0A"/>
    <w:rsid w:val="005C6EE2"/>
    <w:rsid w:val="005D4D23"/>
    <w:rsid w:val="005D65C3"/>
    <w:rsid w:val="005D666E"/>
    <w:rsid w:val="005E1DF2"/>
    <w:rsid w:val="005E490F"/>
    <w:rsid w:val="005F16B8"/>
    <w:rsid w:val="0060311C"/>
    <w:rsid w:val="00603C38"/>
    <w:rsid w:val="00621FE0"/>
    <w:rsid w:val="00634655"/>
    <w:rsid w:val="006347E7"/>
    <w:rsid w:val="00636ADF"/>
    <w:rsid w:val="00637BC9"/>
    <w:rsid w:val="00641966"/>
    <w:rsid w:val="006424D4"/>
    <w:rsid w:val="00651080"/>
    <w:rsid w:val="006517EB"/>
    <w:rsid w:val="006555D2"/>
    <w:rsid w:val="00663149"/>
    <w:rsid w:val="0067629E"/>
    <w:rsid w:val="0068294C"/>
    <w:rsid w:val="006835E7"/>
    <w:rsid w:val="006977ED"/>
    <w:rsid w:val="006A26D9"/>
    <w:rsid w:val="006A3981"/>
    <w:rsid w:val="006B1E62"/>
    <w:rsid w:val="006B33E7"/>
    <w:rsid w:val="006B59E5"/>
    <w:rsid w:val="006C2144"/>
    <w:rsid w:val="006D0858"/>
    <w:rsid w:val="006D3C51"/>
    <w:rsid w:val="006D7570"/>
    <w:rsid w:val="006D7BE8"/>
    <w:rsid w:val="006E2CD1"/>
    <w:rsid w:val="006F176E"/>
    <w:rsid w:val="00703E18"/>
    <w:rsid w:val="00711B80"/>
    <w:rsid w:val="007123BB"/>
    <w:rsid w:val="00714351"/>
    <w:rsid w:val="007148FE"/>
    <w:rsid w:val="00716FE5"/>
    <w:rsid w:val="00721542"/>
    <w:rsid w:val="007264AD"/>
    <w:rsid w:val="00730C33"/>
    <w:rsid w:val="007636D6"/>
    <w:rsid w:val="00770CC5"/>
    <w:rsid w:val="00773738"/>
    <w:rsid w:val="00790BEC"/>
    <w:rsid w:val="007914A0"/>
    <w:rsid w:val="0079168B"/>
    <w:rsid w:val="007A037D"/>
    <w:rsid w:val="007A2004"/>
    <w:rsid w:val="007A331A"/>
    <w:rsid w:val="007A3D54"/>
    <w:rsid w:val="007C337B"/>
    <w:rsid w:val="007D5E9F"/>
    <w:rsid w:val="007E7A90"/>
    <w:rsid w:val="007E7E77"/>
    <w:rsid w:val="007F4ABA"/>
    <w:rsid w:val="007F4B05"/>
    <w:rsid w:val="007F5B5C"/>
    <w:rsid w:val="007F6D7F"/>
    <w:rsid w:val="008007DE"/>
    <w:rsid w:val="008062D5"/>
    <w:rsid w:val="00807570"/>
    <w:rsid w:val="00827564"/>
    <w:rsid w:val="008424F9"/>
    <w:rsid w:val="008512E3"/>
    <w:rsid w:val="00855FE3"/>
    <w:rsid w:val="00857F05"/>
    <w:rsid w:val="00865ED3"/>
    <w:rsid w:val="008724CD"/>
    <w:rsid w:val="00883EEF"/>
    <w:rsid w:val="0089331D"/>
    <w:rsid w:val="008A0F61"/>
    <w:rsid w:val="008A28BB"/>
    <w:rsid w:val="008A5296"/>
    <w:rsid w:val="008B6C8C"/>
    <w:rsid w:val="008B7387"/>
    <w:rsid w:val="008D6F37"/>
    <w:rsid w:val="008E6F64"/>
    <w:rsid w:val="008F72F6"/>
    <w:rsid w:val="00900160"/>
    <w:rsid w:val="009012CA"/>
    <w:rsid w:val="00902DD5"/>
    <w:rsid w:val="00906216"/>
    <w:rsid w:val="00913D35"/>
    <w:rsid w:val="009204AD"/>
    <w:rsid w:val="00922756"/>
    <w:rsid w:val="00933635"/>
    <w:rsid w:val="00956FC1"/>
    <w:rsid w:val="00960B4D"/>
    <w:rsid w:val="009674FE"/>
    <w:rsid w:val="0097356D"/>
    <w:rsid w:val="00974D73"/>
    <w:rsid w:val="00975654"/>
    <w:rsid w:val="00975F80"/>
    <w:rsid w:val="00977990"/>
    <w:rsid w:val="009802C6"/>
    <w:rsid w:val="00982B1D"/>
    <w:rsid w:val="009857DE"/>
    <w:rsid w:val="009935FB"/>
    <w:rsid w:val="009A0086"/>
    <w:rsid w:val="009A6EBE"/>
    <w:rsid w:val="009B1036"/>
    <w:rsid w:val="009B161D"/>
    <w:rsid w:val="009B3DB2"/>
    <w:rsid w:val="009B5901"/>
    <w:rsid w:val="009B5A34"/>
    <w:rsid w:val="009B7359"/>
    <w:rsid w:val="009C242A"/>
    <w:rsid w:val="009C4389"/>
    <w:rsid w:val="009C44DB"/>
    <w:rsid w:val="009D027A"/>
    <w:rsid w:val="009D3F1C"/>
    <w:rsid w:val="009D6980"/>
    <w:rsid w:val="009E1EE9"/>
    <w:rsid w:val="009F0706"/>
    <w:rsid w:val="009F1362"/>
    <w:rsid w:val="009F3172"/>
    <w:rsid w:val="009F4253"/>
    <w:rsid w:val="009F4BD8"/>
    <w:rsid w:val="009F69B3"/>
    <w:rsid w:val="009F727A"/>
    <w:rsid w:val="00A0177E"/>
    <w:rsid w:val="00A032D0"/>
    <w:rsid w:val="00A03906"/>
    <w:rsid w:val="00A04FE0"/>
    <w:rsid w:val="00A059B0"/>
    <w:rsid w:val="00A05B6C"/>
    <w:rsid w:val="00A06CFA"/>
    <w:rsid w:val="00A10EA9"/>
    <w:rsid w:val="00A158C4"/>
    <w:rsid w:val="00A202A2"/>
    <w:rsid w:val="00A24A3B"/>
    <w:rsid w:val="00A255B6"/>
    <w:rsid w:val="00A26C9C"/>
    <w:rsid w:val="00A324E3"/>
    <w:rsid w:val="00A4412C"/>
    <w:rsid w:val="00A604E4"/>
    <w:rsid w:val="00A61C7F"/>
    <w:rsid w:val="00A70F8E"/>
    <w:rsid w:val="00A8664A"/>
    <w:rsid w:val="00A93156"/>
    <w:rsid w:val="00A9382E"/>
    <w:rsid w:val="00A9470B"/>
    <w:rsid w:val="00A96339"/>
    <w:rsid w:val="00A97390"/>
    <w:rsid w:val="00AB3142"/>
    <w:rsid w:val="00AB34EE"/>
    <w:rsid w:val="00AB4C0A"/>
    <w:rsid w:val="00AB792F"/>
    <w:rsid w:val="00AC0162"/>
    <w:rsid w:val="00AC07F1"/>
    <w:rsid w:val="00AC3485"/>
    <w:rsid w:val="00AC5DDF"/>
    <w:rsid w:val="00AC7B35"/>
    <w:rsid w:val="00AD58A2"/>
    <w:rsid w:val="00AE79CC"/>
    <w:rsid w:val="00AF0BD3"/>
    <w:rsid w:val="00B01D32"/>
    <w:rsid w:val="00B12B50"/>
    <w:rsid w:val="00B17FFC"/>
    <w:rsid w:val="00B24A36"/>
    <w:rsid w:val="00B31185"/>
    <w:rsid w:val="00B32A25"/>
    <w:rsid w:val="00B33FDF"/>
    <w:rsid w:val="00B37109"/>
    <w:rsid w:val="00B4193F"/>
    <w:rsid w:val="00B44F77"/>
    <w:rsid w:val="00B46D7D"/>
    <w:rsid w:val="00B51A3C"/>
    <w:rsid w:val="00B557E9"/>
    <w:rsid w:val="00B55DB0"/>
    <w:rsid w:val="00B6197C"/>
    <w:rsid w:val="00B65F15"/>
    <w:rsid w:val="00B6670C"/>
    <w:rsid w:val="00B67E7A"/>
    <w:rsid w:val="00B700B7"/>
    <w:rsid w:val="00B7500A"/>
    <w:rsid w:val="00B87930"/>
    <w:rsid w:val="00B9159F"/>
    <w:rsid w:val="00B94CD7"/>
    <w:rsid w:val="00BA38F3"/>
    <w:rsid w:val="00BC07F4"/>
    <w:rsid w:val="00BC26C8"/>
    <w:rsid w:val="00BC2F2C"/>
    <w:rsid w:val="00BC4120"/>
    <w:rsid w:val="00BC7D6F"/>
    <w:rsid w:val="00BD12FC"/>
    <w:rsid w:val="00BD389B"/>
    <w:rsid w:val="00BD47E0"/>
    <w:rsid w:val="00BE43B8"/>
    <w:rsid w:val="00BF0A4F"/>
    <w:rsid w:val="00BF3DDA"/>
    <w:rsid w:val="00BF7E4D"/>
    <w:rsid w:val="00C03E2B"/>
    <w:rsid w:val="00C069D1"/>
    <w:rsid w:val="00C12596"/>
    <w:rsid w:val="00C169C9"/>
    <w:rsid w:val="00C16D86"/>
    <w:rsid w:val="00C30B1C"/>
    <w:rsid w:val="00C31ECF"/>
    <w:rsid w:val="00C32525"/>
    <w:rsid w:val="00C33D2B"/>
    <w:rsid w:val="00C34C0E"/>
    <w:rsid w:val="00C473E1"/>
    <w:rsid w:val="00C4772C"/>
    <w:rsid w:val="00C51EF8"/>
    <w:rsid w:val="00C64DFE"/>
    <w:rsid w:val="00C666E5"/>
    <w:rsid w:val="00C7740A"/>
    <w:rsid w:val="00C774CA"/>
    <w:rsid w:val="00C80F73"/>
    <w:rsid w:val="00C81F36"/>
    <w:rsid w:val="00C920DC"/>
    <w:rsid w:val="00C941D3"/>
    <w:rsid w:val="00C9564A"/>
    <w:rsid w:val="00CA4097"/>
    <w:rsid w:val="00CA4578"/>
    <w:rsid w:val="00CB0AC9"/>
    <w:rsid w:val="00CB2FF5"/>
    <w:rsid w:val="00CD31E2"/>
    <w:rsid w:val="00CD3207"/>
    <w:rsid w:val="00CD44B2"/>
    <w:rsid w:val="00CD7111"/>
    <w:rsid w:val="00CE537B"/>
    <w:rsid w:val="00D05163"/>
    <w:rsid w:val="00D06560"/>
    <w:rsid w:val="00D1151E"/>
    <w:rsid w:val="00D3151F"/>
    <w:rsid w:val="00D463F6"/>
    <w:rsid w:val="00D510F9"/>
    <w:rsid w:val="00D61F17"/>
    <w:rsid w:val="00D6230D"/>
    <w:rsid w:val="00D623B2"/>
    <w:rsid w:val="00D63809"/>
    <w:rsid w:val="00D743A8"/>
    <w:rsid w:val="00D80942"/>
    <w:rsid w:val="00D857A7"/>
    <w:rsid w:val="00D9160D"/>
    <w:rsid w:val="00D93B2E"/>
    <w:rsid w:val="00DA0B84"/>
    <w:rsid w:val="00DA5453"/>
    <w:rsid w:val="00DB71A4"/>
    <w:rsid w:val="00DB76FB"/>
    <w:rsid w:val="00DC56C4"/>
    <w:rsid w:val="00DD14C6"/>
    <w:rsid w:val="00DD7959"/>
    <w:rsid w:val="00DE053E"/>
    <w:rsid w:val="00DE2E12"/>
    <w:rsid w:val="00DE3851"/>
    <w:rsid w:val="00DE7DEB"/>
    <w:rsid w:val="00DF49EF"/>
    <w:rsid w:val="00E0540F"/>
    <w:rsid w:val="00E1116B"/>
    <w:rsid w:val="00E15831"/>
    <w:rsid w:val="00E209FC"/>
    <w:rsid w:val="00E243D3"/>
    <w:rsid w:val="00E30A1C"/>
    <w:rsid w:val="00E348DA"/>
    <w:rsid w:val="00E368EE"/>
    <w:rsid w:val="00E37DA3"/>
    <w:rsid w:val="00E56A55"/>
    <w:rsid w:val="00E61832"/>
    <w:rsid w:val="00E63B9E"/>
    <w:rsid w:val="00E77686"/>
    <w:rsid w:val="00E850F9"/>
    <w:rsid w:val="00E859BC"/>
    <w:rsid w:val="00E916B2"/>
    <w:rsid w:val="00E95E5C"/>
    <w:rsid w:val="00EA300E"/>
    <w:rsid w:val="00EB037E"/>
    <w:rsid w:val="00EB04F3"/>
    <w:rsid w:val="00EB527B"/>
    <w:rsid w:val="00EB6695"/>
    <w:rsid w:val="00EC4E58"/>
    <w:rsid w:val="00ED3903"/>
    <w:rsid w:val="00ED40DC"/>
    <w:rsid w:val="00ED6485"/>
    <w:rsid w:val="00F00E07"/>
    <w:rsid w:val="00F0199D"/>
    <w:rsid w:val="00F07C26"/>
    <w:rsid w:val="00F14772"/>
    <w:rsid w:val="00F20446"/>
    <w:rsid w:val="00F222A4"/>
    <w:rsid w:val="00F24FA1"/>
    <w:rsid w:val="00F2529C"/>
    <w:rsid w:val="00F26480"/>
    <w:rsid w:val="00F27FFB"/>
    <w:rsid w:val="00F305E9"/>
    <w:rsid w:val="00F3514B"/>
    <w:rsid w:val="00F45C21"/>
    <w:rsid w:val="00F500CC"/>
    <w:rsid w:val="00F501A7"/>
    <w:rsid w:val="00F510CD"/>
    <w:rsid w:val="00F63138"/>
    <w:rsid w:val="00F6726A"/>
    <w:rsid w:val="00F7169F"/>
    <w:rsid w:val="00F7264B"/>
    <w:rsid w:val="00F74CDD"/>
    <w:rsid w:val="00F80F5A"/>
    <w:rsid w:val="00F844A4"/>
    <w:rsid w:val="00F84EF0"/>
    <w:rsid w:val="00F86840"/>
    <w:rsid w:val="00F86EF1"/>
    <w:rsid w:val="00F902DC"/>
    <w:rsid w:val="00FB7300"/>
    <w:rsid w:val="00FB7AF8"/>
    <w:rsid w:val="00FC5648"/>
    <w:rsid w:val="00FD3D08"/>
    <w:rsid w:val="00FD43D8"/>
    <w:rsid w:val="00FE67B3"/>
    <w:rsid w:val="00FF649D"/>
    <w:rsid w:val="00FF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A00F42E"/>
  <w15:docId w15:val="{D89C4BE9-3C13-437A-91A4-80351EBE6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9382E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9382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0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06E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A0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A06E0"/>
  </w:style>
  <w:style w:type="paragraph" w:styleId="Fuzeile">
    <w:name w:val="footer"/>
    <w:basedOn w:val="Standard"/>
    <w:link w:val="FuzeileZchn"/>
    <w:uiPriority w:val="99"/>
    <w:unhideWhenUsed/>
    <w:rsid w:val="001A0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A06E0"/>
  </w:style>
  <w:style w:type="paragraph" w:styleId="KeinLeerraum">
    <w:name w:val="No Spacing"/>
    <w:uiPriority w:val="1"/>
    <w:qFormat/>
    <w:rsid w:val="001A06E0"/>
    <w:pPr>
      <w:spacing w:after="0" w:line="240" w:lineRule="auto"/>
    </w:pPr>
    <w:rPr>
      <w:rFonts w:ascii="Arial" w:hAnsi="Arial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9382E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character" w:styleId="Seitenzahl">
    <w:name w:val="page number"/>
    <w:basedOn w:val="Absatz-Standardschriftart"/>
    <w:rsid w:val="008724CD"/>
  </w:style>
  <w:style w:type="paragraph" w:customStyle="1" w:styleId="EinfAbs">
    <w:name w:val="[Einf. Abs.]"/>
    <w:basedOn w:val="Standard"/>
    <w:uiPriority w:val="99"/>
    <w:rsid w:val="00A9382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A9382E"/>
    <w:pPr>
      <w:spacing w:before="120" w:after="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9382E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styleId="Hyperlink">
    <w:name w:val="Hyperlink"/>
    <w:semiHidden/>
    <w:rsid w:val="00A9382E"/>
    <w:rPr>
      <w:color w:val="0000FF"/>
      <w:u w:val="single"/>
    </w:rPr>
  </w:style>
  <w:style w:type="paragraph" w:styleId="Textkrper3">
    <w:name w:val="Body Text 3"/>
    <w:link w:val="Textkrper3Zchn"/>
    <w:semiHidden/>
    <w:unhideWhenUsed/>
    <w:rsid w:val="00DD14C6"/>
    <w:pPr>
      <w:spacing w:after="120"/>
    </w:pPr>
    <w:rPr>
      <w:rFonts w:ascii="Arial" w:eastAsia="Arial Unicode MS" w:hAnsi="Arial" w:cs="Arial Unicode MS"/>
      <w:color w:val="000000"/>
      <w:sz w:val="16"/>
      <w:szCs w:val="16"/>
      <w:u w:color="000000"/>
      <w:lang w:eastAsia="de-DE"/>
    </w:rPr>
  </w:style>
  <w:style w:type="character" w:customStyle="1" w:styleId="Textkrper3Zchn">
    <w:name w:val="Textkörper 3 Zchn"/>
    <w:basedOn w:val="Absatz-Standardschriftart"/>
    <w:link w:val="Textkrper3"/>
    <w:semiHidden/>
    <w:rsid w:val="00DD14C6"/>
    <w:rPr>
      <w:rFonts w:ascii="Arial" w:eastAsia="Arial Unicode MS" w:hAnsi="Arial" w:cs="Arial Unicode MS"/>
      <w:color w:val="000000"/>
      <w:sz w:val="16"/>
      <w:szCs w:val="16"/>
      <w:u w:color="00000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05B6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5B6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5B6C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5B6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5B6C"/>
    <w:rPr>
      <w:rFonts w:ascii="Arial" w:hAnsi="Arial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F501A7"/>
    <w:rPr>
      <w:b/>
      <w:bCs/>
      <w:i w:val="0"/>
      <w:iCs w:val="0"/>
    </w:rPr>
  </w:style>
  <w:style w:type="character" w:customStyle="1" w:styleId="st1">
    <w:name w:val="st1"/>
    <w:basedOn w:val="Absatz-Standardschriftart"/>
    <w:rsid w:val="00F501A7"/>
  </w:style>
  <w:style w:type="paragraph" w:styleId="berarbeitung">
    <w:name w:val="Revision"/>
    <w:hidden/>
    <w:uiPriority w:val="99"/>
    <w:semiHidden/>
    <w:rsid w:val="00334162"/>
    <w:pPr>
      <w:spacing w:after="0" w:line="240" w:lineRule="auto"/>
    </w:pPr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A158C4"/>
    <w:pPr>
      <w:ind w:left="720"/>
      <w:contextualSpacing/>
    </w:pPr>
    <w:rPr>
      <w:rFonts w:asciiTheme="minorHAnsi" w:hAnsiTheme="minorHAnsi"/>
      <w:sz w:val="22"/>
    </w:rPr>
  </w:style>
  <w:style w:type="paragraph" w:customStyle="1" w:styleId="paragraph">
    <w:name w:val="paragraph"/>
    <w:basedOn w:val="Standard"/>
    <w:rsid w:val="00EB0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normaltextrun">
    <w:name w:val="normaltextrun"/>
    <w:basedOn w:val="Absatz-Standardschriftart"/>
    <w:rsid w:val="00EB037E"/>
  </w:style>
  <w:style w:type="character" w:customStyle="1" w:styleId="eop">
    <w:name w:val="eop"/>
    <w:basedOn w:val="Absatz-Standardschriftart"/>
    <w:rsid w:val="00EB037E"/>
  </w:style>
  <w:style w:type="character" w:customStyle="1" w:styleId="spellingerror">
    <w:name w:val="spellingerror"/>
    <w:basedOn w:val="Absatz-Standardschriftart"/>
    <w:rsid w:val="00EB037E"/>
  </w:style>
  <w:style w:type="paragraph" w:styleId="StandardWeb">
    <w:name w:val="Normal (Web)"/>
    <w:basedOn w:val="Standard"/>
    <w:uiPriority w:val="99"/>
    <w:unhideWhenUsed/>
    <w:rsid w:val="00EB6695"/>
    <w:pPr>
      <w:spacing w:before="100" w:beforeAutospacing="1" w:after="100" w:afterAutospacing="1" w:line="240" w:lineRule="auto"/>
    </w:pPr>
    <w:rPr>
      <w:rFonts w:ascii="Calibri" w:hAnsi="Calibri" w:cs="Calibri"/>
      <w:sz w:val="22"/>
      <w:u w:color="000000"/>
      <w:lang w:eastAsia="de-DE"/>
    </w:rPr>
  </w:style>
  <w:style w:type="character" w:customStyle="1" w:styleId="scxw254268140">
    <w:name w:val="scxw254268140"/>
    <w:basedOn w:val="Absatz-Standardschriftart"/>
    <w:rsid w:val="00993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2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6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3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rting.com/DE/de/news/product/single-pole-front-mounting-connector-energy-storage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HARTING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Detlef.Sieverdingbeck@HARTING.com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2FC22-0551-40EE-BF32-CD23D053B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HARTING KGaA</Company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Klose, Michael</dc:creator>
  <cp:lastModifiedBy>Kuehme, Lars</cp:lastModifiedBy>
  <cp:revision>4</cp:revision>
  <cp:lastPrinted>2018-07-18T05:51:00Z</cp:lastPrinted>
  <dcterms:created xsi:type="dcterms:W3CDTF">2021-11-18T12:56:00Z</dcterms:created>
  <dcterms:modified xsi:type="dcterms:W3CDTF">2021-11-19T09:01:00Z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156776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D7.0.3</vt:lpwstr>
  </property>
</Properties>
</file>