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3F2E1" w14:textId="77777777" w:rsidR="00EB6695" w:rsidRDefault="00EB6695" w:rsidP="00EB6695">
      <w:pPr>
        <w:pStyle w:val="StandardWeb"/>
        <w:keepNext/>
        <w:spacing w:before="0" w:beforeAutospacing="0" w:after="0" w:afterAutospacing="0" w:line="276" w:lineRule="auto"/>
        <w:rPr>
          <w:rFonts w:ascii="Arial" w:hAnsi="Arial" w:cs="Arial"/>
          <w:b/>
          <w:bCs/>
          <w:sz w:val="24"/>
          <w:szCs w:val="24"/>
        </w:rPr>
      </w:pPr>
      <w:bookmarkStart w:id="0" w:name="_Hlk88134228"/>
      <w:bookmarkEnd w:id="0"/>
      <w:r>
        <w:rPr>
          <w:rFonts w:ascii="Arial" w:hAnsi="Arial" w:cs="Arial"/>
          <w:b/>
          <w:bCs/>
          <w:sz w:val="24"/>
          <w:szCs w:val="24"/>
        </w:rPr>
        <w:t>Eine</w:t>
      </w:r>
      <w:r w:rsidRPr="007B5A96">
        <w:rPr>
          <w:rFonts w:ascii="Arial" w:hAnsi="Arial" w:cs="Arial"/>
          <w:b/>
          <w:bCs/>
          <w:sz w:val="24"/>
          <w:szCs w:val="24"/>
        </w:rPr>
        <w:t xml:space="preserve"> smar</w:t>
      </w:r>
      <w:r>
        <w:rPr>
          <w:rFonts w:ascii="Arial" w:hAnsi="Arial" w:cs="Arial"/>
          <w:b/>
          <w:bCs/>
          <w:sz w:val="24"/>
          <w:szCs w:val="24"/>
        </w:rPr>
        <w:t>te Infrastruktur für den Weg ins IIoT</w:t>
      </w:r>
    </w:p>
    <w:p w14:paraId="3C9B8C20" w14:textId="77777777" w:rsidR="00EB6695" w:rsidRPr="00B63A63" w:rsidRDefault="00EB6695" w:rsidP="00EB6695">
      <w:pPr>
        <w:pStyle w:val="StandardWeb"/>
        <w:keepNext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Zuverlässige </w:t>
      </w:r>
      <w:r w:rsidRPr="00B63A63">
        <w:rPr>
          <w:rFonts w:ascii="Arial" w:hAnsi="Arial" w:cs="Arial"/>
          <w:sz w:val="24"/>
          <w:szCs w:val="24"/>
        </w:rPr>
        <w:t>All for Ethernet Lösungen</w:t>
      </w:r>
      <w:r>
        <w:rPr>
          <w:rFonts w:ascii="Arial" w:hAnsi="Arial" w:cs="Arial"/>
          <w:sz w:val="24"/>
          <w:szCs w:val="24"/>
        </w:rPr>
        <w:t xml:space="preserve"> für industrielle Anwendungsbereiche</w:t>
      </w:r>
    </w:p>
    <w:p w14:paraId="365B8A3B" w14:textId="77777777" w:rsidR="00EB6695" w:rsidRPr="007B5A96" w:rsidRDefault="00EB6695" w:rsidP="00EB6695">
      <w:pPr>
        <w:pStyle w:val="StandardWeb"/>
        <w:keepNext/>
        <w:spacing w:before="0" w:beforeAutospacing="0" w:after="0" w:afterAutospacing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0D2D4C5" w14:textId="77777777" w:rsidR="00EB6695" w:rsidRDefault="00EB6695" w:rsidP="00EB6695"/>
    <w:p w14:paraId="63397383" w14:textId="290237F5" w:rsidR="00EB6695" w:rsidRPr="009E63BC" w:rsidRDefault="00EB6695" w:rsidP="00EB6695">
      <w:pPr>
        <w:spacing w:line="360" w:lineRule="auto"/>
        <w:rPr>
          <w:b/>
          <w:bCs/>
        </w:rPr>
      </w:pPr>
      <w:r w:rsidRPr="007B5A96">
        <w:rPr>
          <w:b/>
          <w:bCs/>
        </w:rPr>
        <w:t xml:space="preserve">Espelkamp, 23. November 2021 </w:t>
      </w:r>
      <w:r w:rsidRPr="007B5A96">
        <w:rPr>
          <w:b/>
          <w:bCs/>
          <w:szCs w:val="24"/>
        </w:rPr>
        <w:t>---</w:t>
      </w:r>
      <w:r>
        <w:rPr>
          <w:b/>
          <w:szCs w:val="24"/>
        </w:rPr>
        <w:t xml:space="preserve"> </w:t>
      </w:r>
      <w:r w:rsidR="00F43CFA" w:rsidRPr="00365C16">
        <w:rPr>
          <w:b/>
          <w:szCs w:val="24"/>
        </w:rPr>
        <w:t>Digitalisierung</w:t>
      </w:r>
      <w:r w:rsidR="005464E0" w:rsidRPr="00365C16">
        <w:rPr>
          <w:b/>
          <w:szCs w:val="24"/>
        </w:rPr>
        <w:t xml:space="preserve"> treibt</w:t>
      </w:r>
      <w:r w:rsidR="00F43CFA" w:rsidRPr="00365C16">
        <w:rPr>
          <w:b/>
          <w:szCs w:val="24"/>
        </w:rPr>
        <w:t xml:space="preserve"> einheitlich vernetzte Unternehmensprozesse in Entwicklung, Produktion und Vertrieb voran. </w:t>
      </w:r>
      <w:r w:rsidR="005464E0" w:rsidRPr="00365C16">
        <w:rPr>
          <w:b/>
          <w:szCs w:val="24"/>
        </w:rPr>
        <w:t xml:space="preserve">Mit passenden Infrastrukturlösungen für den einfachen Zugang ins IIoT trägt </w:t>
      </w:r>
      <w:r w:rsidRPr="00365C16">
        <w:rPr>
          <w:b/>
          <w:bCs/>
        </w:rPr>
        <w:t xml:space="preserve">HARTING </w:t>
      </w:r>
      <w:r w:rsidR="00A812CF" w:rsidRPr="00365C16">
        <w:rPr>
          <w:b/>
          <w:bCs/>
        </w:rPr>
        <w:t>Rechnung für die aktuellen Trends und Entwicklungen innerhalb der</w:t>
      </w:r>
      <w:r w:rsidR="005464E0" w:rsidRPr="00365C16">
        <w:rPr>
          <w:b/>
          <w:szCs w:val="24"/>
        </w:rPr>
        <w:t xml:space="preserve"> industriellen Transformation</w:t>
      </w:r>
      <w:r w:rsidRPr="00365C16">
        <w:rPr>
          <w:b/>
          <w:bCs/>
        </w:rPr>
        <w:t xml:space="preserve">. </w:t>
      </w:r>
      <w:proofErr w:type="spellStart"/>
      <w:r>
        <w:rPr>
          <w:b/>
          <w:bCs/>
        </w:rPr>
        <w:t>Steckverbinderneuheiten</w:t>
      </w:r>
      <w:proofErr w:type="spellEnd"/>
      <w:r>
        <w:rPr>
          <w:b/>
          <w:bCs/>
        </w:rPr>
        <w:t xml:space="preserve"> wie etwa der</w:t>
      </w:r>
      <w:r w:rsidRPr="005C6C0A">
        <w:rPr>
          <w:b/>
          <w:bCs/>
        </w:rPr>
        <w:t xml:space="preserve"> RJ Industrial® </w:t>
      </w:r>
      <w:proofErr w:type="spellStart"/>
      <w:r w:rsidRPr="005C6C0A">
        <w:rPr>
          <w:b/>
          <w:bCs/>
          <w:i/>
          <w:iCs/>
        </w:rPr>
        <w:t>MultiFeature</w:t>
      </w:r>
      <w:proofErr w:type="spellEnd"/>
      <w:r w:rsidRPr="005C6C0A">
        <w:rPr>
          <w:b/>
          <w:bCs/>
        </w:rPr>
        <w:t xml:space="preserve">, </w:t>
      </w:r>
      <w:proofErr w:type="spellStart"/>
      <w:r w:rsidRPr="00EC45A1">
        <w:rPr>
          <w:b/>
          <w:bCs/>
        </w:rPr>
        <w:t>preLink</w:t>
      </w:r>
      <w:proofErr w:type="spellEnd"/>
      <w:r w:rsidRPr="00737F64">
        <w:rPr>
          <w:b/>
          <w:bCs/>
          <w:vertAlign w:val="superscript"/>
        </w:rPr>
        <w:t>®</w:t>
      </w:r>
      <w:r w:rsidRPr="00EC45A1">
        <w:rPr>
          <w:b/>
          <w:bCs/>
        </w:rPr>
        <w:t xml:space="preserve"> RJ45</w:t>
      </w:r>
      <w:r>
        <w:t xml:space="preserve"> </w:t>
      </w:r>
      <w:r w:rsidRPr="009E63BC">
        <w:rPr>
          <w:b/>
          <w:bCs/>
        </w:rPr>
        <w:t>sowie die T1 Industrial Schnittstelle für Single Pair Ethernet nach</w:t>
      </w:r>
      <w:r w:rsidRPr="00EC45A1">
        <w:rPr>
          <w:b/>
          <w:bCs/>
        </w:rPr>
        <w:t xml:space="preserve"> IEC </w:t>
      </w:r>
      <w:r w:rsidRPr="009E63BC">
        <w:rPr>
          <w:b/>
          <w:bCs/>
        </w:rPr>
        <w:t xml:space="preserve">63171-6 in M12 und M8 Gehäusen </w:t>
      </w:r>
      <w:r w:rsidR="00FD43D8">
        <w:rPr>
          <w:b/>
          <w:bCs/>
        </w:rPr>
        <w:t xml:space="preserve">spielen </w:t>
      </w:r>
      <w:r w:rsidRPr="009E63BC">
        <w:rPr>
          <w:b/>
          <w:bCs/>
        </w:rPr>
        <w:t xml:space="preserve">eine besondere Rolle. </w:t>
      </w:r>
    </w:p>
    <w:p w14:paraId="2E1162CD" w14:textId="311CC73A" w:rsidR="00EB6695" w:rsidRPr="00C43E15" w:rsidRDefault="00EB6695" w:rsidP="00EB6695">
      <w:pPr>
        <w:spacing w:line="360" w:lineRule="auto"/>
      </w:pPr>
      <w:r w:rsidRPr="00C43E15">
        <w:t xml:space="preserve">Ethernet findet in immer mehr Bereichen der Automatisierung Anwendung und ist das </w:t>
      </w:r>
      <w:r>
        <w:t>v</w:t>
      </w:r>
      <w:r w:rsidRPr="00C43E15">
        <w:t>erbindende Element für IT und OT</w:t>
      </w:r>
      <w:r>
        <w:t xml:space="preserve"> (Operational Technology)</w:t>
      </w:r>
      <w:r w:rsidRPr="00C43E15">
        <w:t xml:space="preserve">. Um entsprechend robuste Netzwerke für den </w:t>
      </w:r>
      <w:r w:rsidRPr="003A6345">
        <w:t xml:space="preserve">industriellen Einsatz aufbauen zu können, entwickelt HARTING das Angebot an zuverlässiger Industrial Ethernet-Connectivity stetig weiter. </w:t>
      </w:r>
      <w:bookmarkStart w:id="1" w:name="_Hlk87265179"/>
      <w:r w:rsidRPr="003A6345">
        <w:t>Für Fast</w:t>
      </w:r>
      <w:r>
        <w:t>-</w:t>
      </w:r>
      <w:r w:rsidRPr="003A6345">
        <w:t>Ethernet und Gigabit-Ethernet</w:t>
      </w:r>
      <w:bookmarkEnd w:id="1"/>
      <w:r w:rsidRPr="003A6345">
        <w:t xml:space="preserve"> zeigt </w:t>
      </w:r>
      <w:r>
        <w:t>die Technologiegruppe</w:t>
      </w:r>
      <w:r w:rsidRPr="003A6345">
        <w:t xml:space="preserve"> neue Varianten der robusten </w:t>
      </w:r>
      <w:r w:rsidRPr="00EC45A1">
        <w:rPr>
          <w:b/>
          <w:bCs/>
        </w:rPr>
        <w:t>RJ Industrial</w:t>
      </w:r>
      <w:r w:rsidRPr="00EC45A1">
        <w:rPr>
          <w:b/>
          <w:bCs/>
          <w:vertAlign w:val="superscript"/>
        </w:rPr>
        <w:t>®</w:t>
      </w:r>
      <w:r w:rsidRPr="00EC45A1">
        <w:rPr>
          <w:b/>
          <w:bCs/>
        </w:rPr>
        <w:t xml:space="preserve"> Multifeature</w:t>
      </w:r>
      <w:r w:rsidRPr="003A6345">
        <w:t xml:space="preserve"> Schnittstelle</w:t>
      </w:r>
      <w:r>
        <w:t>:</w:t>
      </w:r>
      <w:r w:rsidRPr="003A6345">
        <w:t xml:space="preserve"> den industrietauglichen RJ45 mit „integriertem Seitenschneider“ zum beschleunigten und vereinfachten Kabelanschluss</w:t>
      </w:r>
      <w:r>
        <w:t xml:space="preserve"> sowie den neuen </w:t>
      </w:r>
      <w:proofErr w:type="spellStart"/>
      <w:r w:rsidRPr="00EC45A1">
        <w:rPr>
          <w:b/>
          <w:bCs/>
        </w:rPr>
        <w:t>preLink</w:t>
      </w:r>
      <w:proofErr w:type="spellEnd"/>
      <w:r w:rsidRPr="00737F64">
        <w:rPr>
          <w:b/>
          <w:bCs/>
          <w:vertAlign w:val="superscript"/>
        </w:rPr>
        <w:t>®</w:t>
      </w:r>
      <w:r w:rsidRPr="00EC45A1">
        <w:rPr>
          <w:b/>
          <w:bCs/>
        </w:rPr>
        <w:t xml:space="preserve"> RJ45</w:t>
      </w:r>
      <w:r>
        <w:t xml:space="preserve"> i</w:t>
      </w:r>
      <w:r w:rsidRPr="00D30189">
        <w:t xml:space="preserve">n optimiertem Design. Beide RJ45 Neuheiten überzeugen in </w:t>
      </w:r>
      <w:r>
        <w:t xml:space="preserve">seinen </w:t>
      </w:r>
      <w:r w:rsidRPr="00D30189">
        <w:t>geraden und gewinkelten Ausführungen.</w:t>
      </w:r>
      <w:r>
        <w:t xml:space="preserve"> </w:t>
      </w:r>
    </w:p>
    <w:p w14:paraId="6C080FC3" w14:textId="7ECFAB5A" w:rsidR="00EB6695" w:rsidRDefault="00EB6695" w:rsidP="00EB6695">
      <w:pPr>
        <w:spacing w:line="360" w:lineRule="auto"/>
      </w:pPr>
      <w:r w:rsidRPr="00C43E15">
        <w:t xml:space="preserve">Für anspruchsvolle Ethernet-Anwendungen in der Feldebene, deren Montage großem Zeitdruck unterliegen kann, </w:t>
      </w:r>
      <w:r w:rsidR="00FD43D8">
        <w:t>stellt</w:t>
      </w:r>
      <w:r w:rsidRPr="00C43E15">
        <w:t xml:space="preserve"> </w:t>
      </w:r>
      <w:r w:rsidRPr="00FD43D8">
        <w:t>HARTING</w:t>
      </w:r>
      <w:r w:rsidRPr="00EC45A1">
        <w:rPr>
          <w:b/>
          <w:bCs/>
        </w:rPr>
        <w:t xml:space="preserve"> M12 Rundsteckverbinder nach der neuen Norm IEC 61076-2-010</w:t>
      </w:r>
      <w:r w:rsidR="00FD43D8">
        <w:rPr>
          <w:b/>
          <w:bCs/>
        </w:rPr>
        <w:t xml:space="preserve"> </w:t>
      </w:r>
      <w:r w:rsidR="00FD43D8" w:rsidRPr="00FD43D8">
        <w:t>vor</w:t>
      </w:r>
      <w:r w:rsidRPr="003A6345">
        <w:t xml:space="preserve">. Sie steht für den lange von Anwendern erwarteten marktübergreifenden </w:t>
      </w:r>
      <w:proofErr w:type="spellStart"/>
      <w:r w:rsidRPr="003A6345">
        <w:t>PushPull</w:t>
      </w:r>
      <w:proofErr w:type="spellEnd"/>
      <w:r w:rsidRPr="003A6345">
        <w:t xml:space="preserve"> Verriegelungsstandard für M12 Steckverbinder. Damit </w:t>
      </w:r>
      <w:r>
        <w:t>ist zum einen der</w:t>
      </w:r>
      <w:r w:rsidRPr="003A6345">
        <w:t xml:space="preserve"> Zugriff </w:t>
      </w:r>
      <w:proofErr w:type="gramStart"/>
      <w:r w:rsidRPr="003A6345">
        <w:t>auf stehende</w:t>
      </w:r>
      <w:proofErr w:type="gramEnd"/>
      <w:r w:rsidRPr="003A6345">
        <w:t xml:space="preserve"> und versenkte Gerätebuchsen</w:t>
      </w:r>
      <w:r>
        <w:t xml:space="preserve"> möglich, zum anderen</w:t>
      </w:r>
      <w:r w:rsidRPr="003A6345">
        <w:t xml:space="preserve"> können die Schnittstellen auch 75% schneller im Feld </w:t>
      </w:r>
      <w:r>
        <w:t>angeschlossen werden</w:t>
      </w:r>
      <w:r w:rsidRPr="003A6345">
        <w:t xml:space="preserve">. </w:t>
      </w:r>
      <w:r>
        <w:t>Das</w:t>
      </w:r>
      <w:r w:rsidRPr="003A6345">
        <w:t xml:space="preserve"> seit langem kritische Thema Second Source und Interoperabilität </w:t>
      </w:r>
      <w:r>
        <w:t>ist somit hinfällig</w:t>
      </w:r>
      <w:r w:rsidRPr="003A6345">
        <w:t>.</w:t>
      </w:r>
    </w:p>
    <w:p w14:paraId="118EFD22" w14:textId="0BB1AE30" w:rsidR="007F7E39" w:rsidRDefault="007F7E39" w:rsidP="00EB6695">
      <w:pPr>
        <w:spacing w:line="360" w:lineRule="auto"/>
      </w:pPr>
      <w:r w:rsidRPr="003A6345">
        <w:t xml:space="preserve">Anwender PROFINET-gerechter Verkabelungslösungen sollten einen Blick auf den miniaturisierten </w:t>
      </w:r>
      <w:r w:rsidRPr="007F7E39">
        <w:rPr>
          <w:b/>
          <w:bCs/>
        </w:rPr>
        <w:t>ix Industrial</w:t>
      </w:r>
      <w:r w:rsidRPr="007F7E39">
        <w:rPr>
          <w:b/>
          <w:bCs/>
          <w:vertAlign w:val="superscript"/>
        </w:rPr>
        <w:t>®</w:t>
      </w:r>
      <w:r w:rsidRPr="003A6345">
        <w:t xml:space="preserve"> Steckverbinder werfen. Die im Vergleich zu RJ45 Lösungen 70% kleinere </w:t>
      </w:r>
      <w:r w:rsidRPr="00D30189">
        <w:t>Schnittstelle ist nun auch in der PROFINET Guid</w:t>
      </w:r>
      <w:r>
        <w:t>e</w:t>
      </w:r>
      <w:r w:rsidRPr="00D30189">
        <w:t xml:space="preserve">line </w:t>
      </w:r>
      <w:proofErr w:type="spellStart"/>
      <w:r w:rsidRPr="00D30189">
        <w:rPr>
          <w:i/>
          <w:iCs/>
        </w:rPr>
        <w:t>Cabling</w:t>
      </w:r>
      <w:proofErr w:type="spellEnd"/>
      <w:r w:rsidRPr="00D30189">
        <w:rPr>
          <w:i/>
          <w:iCs/>
        </w:rPr>
        <w:t xml:space="preserve"> and </w:t>
      </w:r>
      <w:r w:rsidRPr="00D30189">
        <w:rPr>
          <w:i/>
          <w:iCs/>
        </w:rPr>
        <w:lastRenderedPageBreak/>
        <w:t>Interconnection Technology</w:t>
      </w:r>
      <w:r w:rsidRPr="00D30189">
        <w:t xml:space="preserve"> spezifiziert und bietet Anwendern eine deutlich kleinere, robustere und absolut industrietaugliche </w:t>
      </w:r>
      <w:r w:rsidRPr="003A6345">
        <w:t>Schnittstelle für anspruchsvolle Applikationen im PROFINET-Umfeld</w:t>
      </w:r>
      <w:r>
        <w:t>.</w:t>
      </w:r>
    </w:p>
    <w:p w14:paraId="0C519C03" w14:textId="527C01FF" w:rsidR="00EB6695" w:rsidRDefault="00EB6695" w:rsidP="00EB6695">
      <w:pPr>
        <w:spacing w:line="360" w:lineRule="auto"/>
      </w:pPr>
      <w:r w:rsidRPr="00C43E15">
        <w:t xml:space="preserve">Unter den Neuheiten spielen </w:t>
      </w:r>
      <w:r>
        <w:t xml:space="preserve">darüber hinaus </w:t>
      </w:r>
      <w:r w:rsidRPr="00C43E15">
        <w:t xml:space="preserve">die neuen Varianten der </w:t>
      </w:r>
      <w:r w:rsidRPr="00EC45A1">
        <w:rPr>
          <w:b/>
          <w:bCs/>
        </w:rPr>
        <w:t>T1 Industrial</w:t>
      </w:r>
      <w:r w:rsidRPr="00C43E15">
        <w:t xml:space="preserve"> Schnittstelle für Single Pair Ethernet eine besondere Rolle</w:t>
      </w:r>
      <w:r w:rsidR="00E61832">
        <w:t xml:space="preserve">, insbesondere </w:t>
      </w:r>
      <w:r w:rsidRPr="00C43E15">
        <w:t xml:space="preserve">die </w:t>
      </w:r>
      <w:r w:rsidRPr="00EC45A1">
        <w:rPr>
          <w:b/>
          <w:bCs/>
        </w:rPr>
        <w:t>nach IEC 63171-6 standardisierte Schnittstelle in M12 und M8 Gehäusen</w:t>
      </w:r>
      <w:r>
        <w:t xml:space="preserve">. </w:t>
      </w:r>
      <w:r w:rsidR="00AE79CC">
        <w:t>Darüber hinaus stellt die Technologiegruppe</w:t>
      </w:r>
      <w:r>
        <w:t xml:space="preserve"> </w:t>
      </w:r>
      <w:r w:rsidR="00AE79CC">
        <w:t>die</w:t>
      </w:r>
      <w:r w:rsidRPr="00C43E15">
        <w:t xml:space="preserve"> neuen </w:t>
      </w:r>
      <w:r w:rsidRPr="00EC45A1">
        <w:rPr>
          <w:b/>
          <w:bCs/>
        </w:rPr>
        <w:t>hybriden Konzepte für SPE plus Power nach IEC 63171-7</w:t>
      </w:r>
      <w:r w:rsidRPr="00C43E15">
        <w:t xml:space="preserve"> </w:t>
      </w:r>
      <w:r w:rsidR="00AE79CC">
        <w:t>vor</w:t>
      </w:r>
      <w:r w:rsidRPr="00C43E15">
        <w:t xml:space="preserve">. Um Leistungsanforderungen </w:t>
      </w:r>
      <w:r>
        <w:t xml:space="preserve">zu </w:t>
      </w:r>
      <w:r w:rsidRPr="00C43E15">
        <w:t xml:space="preserve">erfüllen, die über die möglichen 50W </w:t>
      </w:r>
      <w:r>
        <w:t xml:space="preserve">von </w:t>
      </w:r>
      <w:r w:rsidRPr="00C43E15">
        <w:t xml:space="preserve">Power </w:t>
      </w:r>
      <w:proofErr w:type="spellStart"/>
      <w:r w:rsidRPr="00C43E15">
        <w:t>over</w:t>
      </w:r>
      <w:proofErr w:type="spellEnd"/>
      <w:r w:rsidRPr="00C43E15">
        <w:t xml:space="preserve"> Data Line</w:t>
      </w:r>
      <w:r>
        <w:t xml:space="preserve"> hinausgehen</w:t>
      </w:r>
      <w:r w:rsidRPr="00C43E15">
        <w:t>, ist die -7 Norm für hybride SPE Lösungen ein wichtiger Schritt.</w:t>
      </w:r>
    </w:p>
    <w:p w14:paraId="31DACF6B" w14:textId="2B0FA271" w:rsidR="00EB6695" w:rsidRDefault="00EB6695" w:rsidP="00EB6695">
      <w:pPr>
        <w:spacing w:line="360" w:lineRule="auto"/>
      </w:pPr>
      <w:r w:rsidRPr="000C57BA">
        <w:t xml:space="preserve">Um die SPE Technologie </w:t>
      </w:r>
      <w:r>
        <w:t>weiteren</w:t>
      </w:r>
      <w:r w:rsidRPr="000C57BA">
        <w:t xml:space="preserve"> industrielle</w:t>
      </w:r>
      <w:r>
        <w:t>n</w:t>
      </w:r>
      <w:r w:rsidRPr="000C57BA">
        <w:t xml:space="preserve"> Anwendungsbereiche</w:t>
      </w:r>
      <w:r>
        <w:t>n</w:t>
      </w:r>
      <w:r w:rsidRPr="000C57BA">
        <w:t xml:space="preserve"> zugänglich zu machen, </w:t>
      </w:r>
      <w:r w:rsidR="00E61832">
        <w:t>hat die Technologiegruppe</w:t>
      </w:r>
      <w:r w:rsidRPr="000C57BA">
        <w:t xml:space="preserve"> erste Lösungen für den </w:t>
      </w:r>
      <w:proofErr w:type="spellStart"/>
      <w:r w:rsidRPr="000C57BA">
        <w:t>einpaarigen</w:t>
      </w:r>
      <w:proofErr w:type="spellEnd"/>
      <w:r w:rsidRPr="000C57BA">
        <w:t xml:space="preserve"> Anschluss per Leiterplatten-Klemme </w:t>
      </w:r>
      <w:r w:rsidR="00E61832">
        <w:t>parat</w:t>
      </w:r>
      <w:r w:rsidRPr="000C57BA">
        <w:t xml:space="preserve">. </w:t>
      </w:r>
      <w:r>
        <w:t>Klemmen</w:t>
      </w:r>
      <w:r w:rsidRPr="000C57BA">
        <w:t xml:space="preserve"> vereinfachen den Anschluss von SPE nochmals und können </w:t>
      </w:r>
      <w:r w:rsidRPr="00B24FB3">
        <w:t>dazu beitragen, Ethernet in die Feldebene zu bringen und das Handling zu vereinfachen. Dies ist insb</w:t>
      </w:r>
      <w:r w:rsidRPr="000C57BA">
        <w:t>esondere</w:t>
      </w:r>
      <w:r w:rsidRPr="00B24FB3">
        <w:t xml:space="preserve"> im Kontext von SPE und IIoT mit geringen Datenraten ab 10 Mbit</w:t>
      </w:r>
      <w:r>
        <w:t>/s</w:t>
      </w:r>
      <w:r w:rsidRPr="00B24FB3">
        <w:t xml:space="preserve"> und Übertragungslängen von bis zu 1000 m in der Industrie, Gebäude- und Prozessautomatisierung interessant.</w:t>
      </w:r>
    </w:p>
    <w:p w14:paraId="3942E580" w14:textId="77777777" w:rsidR="007123BB" w:rsidRPr="00DF01EC" w:rsidRDefault="007123BB" w:rsidP="007123BB">
      <w:pPr>
        <w:spacing w:line="360" w:lineRule="auto"/>
        <w:rPr>
          <w:b/>
          <w:bCs/>
        </w:rPr>
      </w:pPr>
      <w:r w:rsidRPr="00DF01EC">
        <w:rPr>
          <w:b/>
          <w:bCs/>
        </w:rPr>
        <w:t>SPE Industrial Partner Network</w:t>
      </w:r>
    </w:p>
    <w:p w14:paraId="66CF497B" w14:textId="16D13908" w:rsidR="007123BB" w:rsidRPr="003A7B07" w:rsidRDefault="003A7B07" w:rsidP="00EB6695">
      <w:pPr>
        <w:spacing w:line="360" w:lineRule="auto"/>
        <w:rPr>
          <w:rFonts w:cs="Arial"/>
        </w:rPr>
      </w:pPr>
      <w:r w:rsidRPr="003A7B07">
        <w:rPr>
          <w:rFonts w:cs="Arial"/>
          <w:shd w:val="clear" w:color="auto" w:fill="FFFFFF"/>
        </w:rPr>
        <w:t>Auch HARTINGs Rolle als Gründungsmitglied im SPE Industrial Partner Network e.V. wird sichtbar nach außen getragen. Im Rahmen unseres digitalen Angebotes werden Anwendungsbeispiele für SPE gezeigt – Interessierte sind herzlich eingeladen, ihre Fragen zum Thema SPE zu stellen.</w:t>
      </w:r>
    </w:p>
    <w:p w14:paraId="433C541C" w14:textId="72806E7B" w:rsidR="00E20E6A" w:rsidRPr="00B24FB3" w:rsidRDefault="00E20E6A" w:rsidP="00EB6695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70282752" wp14:editId="481A302B">
            <wp:extent cx="3438525" cy="2431839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31" cy="243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65A33" w14:textId="3A742135" w:rsidR="00E20E6A" w:rsidRDefault="00E20E6A" w:rsidP="00E20E6A">
      <w:pPr>
        <w:jc w:val="both"/>
        <w:rPr>
          <w:bCs/>
        </w:rPr>
      </w:pPr>
      <w:r>
        <w:rPr>
          <w:b/>
        </w:rPr>
        <w:t xml:space="preserve">Bildzeile: </w:t>
      </w:r>
      <w:r w:rsidRPr="00E859BC">
        <w:rPr>
          <w:bCs/>
          <w:szCs w:val="24"/>
        </w:rPr>
        <w:t>D</w:t>
      </w:r>
      <w:r>
        <w:rPr>
          <w:bCs/>
          <w:szCs w:val="24"/>
        </w:rPr>
        <w:t>er</w:t>
      </w:r>
      <w:r w:rsidRPr="00E859BC">
        <w:rPr>
          <w:bCs/>
          <w:szCs w:val="24"/>
        </w:rPr>
        <w:t xml:space="preserve"> </w:t>
      </w:r>
      <w:bookmarkStart w:id="2" w:name="_Hlk88134065"/>
      <w:r w:rsidRPr="00E859BC">
        <w:rPr>
          <w:bCs/>
        </w:rPr>
        <w:t>RJ Industrial</w:t>
      </w:r>
      <w:r w:rsidRPr="00E20E6A">
        <w:rPr>
          <w:bCs/>
          <w:vertAlign w:val="superscript"/>
        </w:rPr>
        <w:t>®</w:t>
      </w:r>
      <w:r w:rsidRPr="00E859BC">
        <w:rPr>
          <w:bCs/>
        </w:rPr>
        <w:t xml:space="preserve"> </w:t>
      </w:r>
      <w:proofErr w:type="spellStart"/>
      <w:r w:rsidRPr="00E859BC">
        <w:rPr>
          <w:bCs/>
          <w:i/>
          <w:iCs/>
        </w:rPr>
        <w:t>MultiFeature</w:t>
      </w:r>
      <w:proofErr w:type="spellEnd"/>
      <w:r w:rsidRPr="00E859BC">
        <w:rPr>
          <w:bCs/>
        </w:rPr>
        <w:t xml:space="preserve"> </w:t>
      </w:r>
      <w:bookmarkEnd w:id="2"/>
      <w:r w:rsidRPr="00E859BC">
        <w:rPr>
          <w:bCs/>
        </w:rPr>
        <w:t xml:space="preserve">stellt eine deutlich verbesserte Variante des klassischen RJ45 dar. </w:t>
      </w:r>
    </w:p>
    <w:p w14:paraId="142AC9D2" w14:textId="488D2F6A" w:rsidR="007F7E39" w:rsidRDefault="007F7E39" w:rsidP="00E20E6A">
      <w:pPr>
        <w:jc w:val="both"/>
        <w:rPr>
          <w:bCs/>
        </w:rPr>
      </w:pPr>
    </w:p>
    <w:p w14:paraId="6B60E333" w14:textId="65B5CFBD" w:rsidR="007F7E39" w:rsidRPr="00E859BC" w:rsidRDefault="00752AE1" w:rsidP="00E20E6A">
      <w:pPr>
        <w:jc w:val="both"/>
        <w:rPr>
          <w:bCs/>
        </w:rPr>
      </w:pPr>
      <w:r>
        <w:rPr>
          <w:noProof/>
        </w:rPr>
        <w:drawing>
          <wp:inline distT="0" distB="0" distL="0" distR="0" wp14:anchorId="6B366B7B" wp14:editId="4BAA019B">
            <wp:extent cx="3448050" cy="2440374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239" cy="244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E8282" w14:textId="40353781" w:rsidR="00E61832" w:rsidRDefault="007F7E39" w:rsidP="00EB6695">
      <w:r>
        <w:rPr>
          <w:b/>
        </w:rPr>
        <w:t xml:space="preserve">Bildzeile: </w:t>
      </w:r>
      <w:r w:rsidRPr="00E859BC">
        <w:rPr>
          <w:bCs/>
          <w:szCs w:val="24"/>
        </w:rPr>
        <w:t>D</w:t>
      </w:r>
      <w:r>
        <w:rPr>
          <w:bCs/>
          <w:szCs w:val="24"/>
        </w:rPr>
        <w:t>er</w:t>
      </w:r>
      <w:r w:rsidRPr="00E859BC">
        <w:rPr>
          <w:bCs/>
          <w:szCs w:val="24"/>
        </w:rPr>
        <w:t xml:space="preserve"> </w:t>
      </w:r>
      <w:r>
        <w:rPr>
          <w:bCs/>
        </w:rPr>
        <w:t>ix</w:t>
      </w:r>
      <w:r w:rsidRPr="00E859BC">
        <w:rPr>
          <w:bCs/>
        </w:rPr>
        <w:t xml:space="preserve"> Industrial</w:t>
      </w:r>
      <w:r w:rsidRPr="00E20E6A">
        <w:rPr>
          <w:bCs/>
          <w:vertAlign w:val="superscript"/>
        </w:rPr>
        <w:t>®</w:t>
      </w:r>
      <w:r w:rsidR="00AC7575">
        <w:rPr>
          <w:bCs/>
        </w:rPr>
        <w:t xml:space="preserve"> - </w:t>
      </w:r>
      <w:r w:rsidR="00AC7575" w:rsidRPr="003A6345">
        <w:t>im Vergleich zu RJ45 Lösungen 70% kleiner</w:t>
      </w:r>
      <w:r w:rsidR="00AC7575">
        <w:t xml:space="preserve"> und </w:t>
      </w:r>
      <w:r w:rsidR="00AC7575" w:rsidRPr="00D30189">
        <w:t xml:space="preserve">nun auch PROFINET </w:t>
      </w:r>
      <w:r w:rsidR="00AC7575">
        <w:t>spezifiziert.</w:t>
      </w:r>
    </w:p>
    <w:p w14:paraId="549F35D7" w14:textId="3B846D0A" w:rsidR="00660C96" w:rsidRDefault="00660C96" w:rsidP="00EB6695"/>
    <w:p w14:paraId="6257F04C" w14:textId="77777777" w:rsidR="00660C96" w:rsidRDefault="00660C96" w:rsidP="00EB6695"/>
    <w:p w14:paraId="07DC98F1" w14:textId="04710D8D" w:rsidR="00AC7575" w:rsidRDefault="00AC7575" w:rsidP="00EB6695">
      <w:pPr>
        <w:rPr>
          <w:b/>
        </w:rPr>
      </w:pPr>
    </w:p>
    <w:p w14:paraId="0021810A" w14:textId="5893712E" w:rsidR="00660C96" w:rsidRDefault="009A0C86" w:rsidP="00EB6695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0B841659" wp14:editId="052C495F">
            <wp:extent cx="2822160" cy="195262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62" cy="19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B0DE6" w14:textId="0EB0F438" w:rsidR="00660C96" w:rsidRDefault="00660C96" w:rsidP="00EB6695">
      <w:pPr>
        <w:rPr>
          <w:b/>
        </w:rPr>
      </w:pPr>
    </w:p>
    <w:p w14:paraId="273368EF" w14:textId="5A93FB88" w:rsidR="00660C96" w:rsidRDefault="00660C96" w:rsidP="00660C96">
      <w:r>
        <w:rPr>
          <w:b/>
        </w:rPr>
        <w:t xml:space="preserve">Bildzeile: </w:t>
      </w:r>
      <w:r w:rsidRPr="00660C96">
        <w:rPr>
          <w:bCs/>
        </w:rPr>
        <w:t xml:space="preserve">Der neue </w:t>
      </w:r>
      <w:proofErr w:type="spellStart"/>
      <w:r w:rsidRPr="00660C96">
        <w:rPr>
          <w:bCs/>
        </w:rPr>
        <w:t>preLink</w:t>
      </w:r>
      <w:proofErr w:type="spellEnd"/>
      <w:r w:rsidRPr="00660C96">
        <w:rPr>
          <w:bCs/>
          <w:vertAlign w:val="superscript"/>
        </w:rPr>
        <w:t>®</w:t>
      </w:r>
      <w:r w:rsidRPr="00660C96">
        <w:rPr>
          <w:bCs/>
        </w:rPr>
        <w:t xml:space="preserve"> RJ45 </w:t>
      </w:r>
      <w:r>
        <w:t>im</w:t>
      </w:r>
      <w:r w:rsidRPr="00D30189">
        <w:t xml:space="preserve"> optimierte</w:t>
      </w:r>
      <w:r>
        <w:t>n</w:t>
      </w:r>
      <w:r w:rsidRPr="00D30189">
        <w:t xml:space="preserve"> Design</w:t>
      </w:r>
      <w:r w:rsidR="0038665E">
        <w:t>.</w:t>
      </w:r>
    </w:p>
    <w:p w14:paraId="1949EB09" w14:textId="1A7603F7" w:rsidR="00BB5364" w:rsidRDefault="00BB5364" w:rsidP="00EB6695">
      <w:pPr>
        <w:rPr>
          <w:b/>
        </w:rPr>
      </w:pPr>
    </w:p>
    <w:p w14:paraId="6DF5048F" w14:textId="0274767B" w:rsidR="00BB5364" w:rsidRDefault="00BB5364" w:rsidP="00EB6695">
      <w:pPr>
        <w:rPr>
          <w:b/>
        </w:rPr>
      </w:pPr>
      <w:r>
        <w:rPr>
          <w:noProof/>
        </w:rPr>
        <w:drawing>
          <wp:inline distT="0" distB="0" distL="0" distR="0" wp14:anchorId="48F1FB83" wp14:editId="064ABE97">
            <wp:extent cx="2826607" cy="20002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924" cy="200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15F77" w14:textId="77777777" w:rsidR="00BB5364" w:rsidRDefault="00BB5364" w:rsidP="00EB6695">
      <w:pPr>
        <w:rPr>
          <w:b/>
        </w:rPr>
      </w:pPr>
    </w:p>
    <w:p w14:paraId="7C7E63D8" w14:textId="7A257256" w:rsidR="00BB5364" w:rsidRDefault="00BB5364" w:rsidP="00BB5364">
      <w:r>
        <w:rPr>
          <w:b/>
        </w:rPr>
        <w:t xml:space="preserve">Bildzeile: </w:t>
      </w:r>
      <w:r w:rsidR="00660C96" w:rsidRPr="00660C96">
        <w:t xml:space="preserve">M12 </w:t>
      </w:r>
      <w:proofErr w:type="spellStart"/>
      <w:r w:rsidR="00660C96" w:rsidRPr="00660C96">
        <w:t>PushPull</w:t>
      </w:r>
      <w:proofErr w:type="spellEnd"/>
      <w:r w:rsidR="00660C96" w:rsidRPr="00660C96">
        <w:t xml:space="preserve"> Rundsteckverbinder nach der neuen Norm IEC 61076-2-010</w:t>
      </w:r>
      <w:r w:rsidR="0038665E">
        <w:t>.</w:t>
      </w:r>
    </w:p>
    <w:p w14:paraId="447CD1F0" w14:textId="5C8454E3" w:rsidR="00BB5364" w:rsidRDefault="00BB5364" w:rsidP="00EB6695">
      <w:pPr>
        <w:rPr>
          <w:b/>
        </w:rPr>
      </w:pPr>
    </w:p>
    <w:p w14:paraId="5BB96D21" w14:textId="77777777" w:rsidR="00365C16" w:rsidRDefault="00365C16" w:rsidP="00EB6695">
      <w:pPr>
        <w:rPr>
          <w:b/>
        </w:rPr>
      </w:pPr>
    </w:p>
    <w:p w14:paraId="0995F437" w14:textId="52393D07" w:rsidR="00107DCC" w:rsidRDefault="00107DCC" w:rsidP="00EB6695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70E90576" wp14:editId="2A38B4F3">
            <wp:extent cx="2867025" cy="202795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519" cy="203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45A65" w14:textId="0FD4EE46" w:rsidR="00107DCC" w:rsidRDefault="00107DCC" w:rsidP="00107DCC">
      <w:r>
        <w:rPr>
          <w:b/>
        </w:rPr>
        <w:t xml:space="preserve">Bildzeile: </w:t>
      </w:r>
      <w:r>
        <w:rPr>
          <w:bCs/>
          <w:szCs w:val="24"/>
        </w:rPr>
        <w:t xml:space="preserve">Die neuen </w:t>
      </w:r>
      <w:r w:rsidRPr="00C43E15">
        <w:t xml:space="preserve">Varianten der </w:t>
      </w:r>
      <w:r w:rsidRPr="00107DCC">
        <w:t>T1 Industrial</w:t>
      </w:r>
      <w:r>
        <w:t xml:space="preserve"> Schnittstelle für Single Pair Ethernet.</w:t>
      </w:r>
    </w:p>
    <w:p w14:paraId="22562B38" w14:textId="77777777" w:rsidR="00107DCC" w:rsidRDefault="00107DCC" w:rsidP="00EB6695">
      <w:pPr>
        <w:rPr>
          <w:b/>
        </w:rPr>
      </w:pPr>
    </w:p>
    <w:p w14:paraId="465A672C" w14:textId="5043BFB6" w:rsidR="00EB6695" w:rsidRDefault="00EB6695" w:rsidP="00EB6695">
      <w:r>
        <w:rPr>
          <w:b/>
        </w:rPr>
        <w:t>Über HARTING:</w:t>
      </w:r>
    </w:p>
    <w:p w14:paraId="1534E1EC" w14:textId="77777777" w:rsidR="00EB6695" w:rsidRDefault="00EB6695" w:rsidP="00EB6695">
      <w:pPr>
        <w:spacing w:after="0" w:line="360" w:lineRule="auto"/>
      </w:pPr>
      <w:r>
        <w:t xml:space="preserve">Die HARTING Technologiegruppe ist ein weltweit führender Anbieter von industrieller Verbindungstechnik für die drei Lebensadern „Data“, „Signal“ und „Power“ mit </w:t>
      </w:r>
      <w:r>
        <w:br/>
        <w:t xml:space="preserve">14 Produktionsstätten und Niederlassungen in 44 Ländern. Darüber hinaus stellt das Unternehmen auch Kassenzonen für den Einzelhandel, elektromagnetische Aktuatoren für den </w:t>
      </w:r>
      <w:proofErr w:type="spellStart"/>
      <w:r>
        <w:t>automotiven</w:t>
      </w:r>
      <w:proofErr w:type="spellEnd"/>
      <w:r>
        <w:t xml:space="preserve"> und industriellen Serieneinsatz, Ladeequipment für Elektrofahrzeuge sowie Hard- und Software für Kunden und Anwendungen u. a. in der Automatisierungs-technik, im Maschinen- und Anlagenbau, in der Robotik und im Bereich Transportation her. Rund 5.500 Mitarbeitende erwirtschafteten 2019/20 einen Umsatz von 759 Mio. Euro.</w:t>
      </w:r>
    </w:p>
    <w:p w14:paraId="28CBD388" w14:textId="77777777" w:rsidR="00EB6695" w:rsidRDefault="00EB6695" w:rsidP="00EB6695">
      <w:pPr>
        <w:spacing w:after="0" w:line="360" w:lineRule="auto"/>
      </w:pPr>
    </w:p>
    <w:p w14:paraId="2E7ED61C" w14:textId="77777777" w:rsidR="00EB6695" w:rsidRDefault="00EB6695" w:rsidP="00EB6695">
      <w:pPr>
        <w:spacing w:line="240" w:lineRule="auto"/>
        <w:rPr>
          <w:rFonts w:cs="Arial"/>
          <w:u w:val="single"/>
        </w:rPr>
      </w:pPr>
      <w:r>
        <w:rPr>
          <w:rFonts w:cs="Arial"/>
          <w:b/>
          <w:u w:val="single"/>
        </w:rPr>
        <w:t>Kontakt:</w:t>
      </w:r>
    </w:p>
    <w:p w14:paraId="52E8B182" w14:textId="77777777" w:rsidR="00EB6695" w:rsidRDefault="00EB6695" w:rsidP="00EB6695">
      <w:pPr>
        <w:spacing w:line="240" w:lineRule="auto"/>
        <w:rPr>
          <w:rFonts w:cs="Arial"/>
        </w:rPr>
      </w:pPr>
      <w:r>
        <w:rPr>
          <w:rFonts w:cs="Arial"/>
        </w:rPr>
        <w:t>HARTING Stiftung &amp; Co. KG</w:t>
      </w:r>
      <w:r>
        <w:rPr>
          <w:rFonts w:cs="Arial"/>
        </w:rPr>
        <w:br/>
        <w:t>Detlef Sieverdingbeck</w:t>
      </w:r>
      <w:r>
        <w:rPr>
          <w:rFonts w:cs="Arial"/>
        </w:rPr>
        <w:br/>
        <w:t>Zentralbereichsleiter</w:t>
      </w:r>
      <w:r>
        <w:rPr>
          <w:rFonts w:cs="Arial"/>
        </w:rPr>
        <w:br/>
      </w:r>
      <w:r>
        <w:rPr>
          <w:rFonts w:eastAsiaTheme="minorEastAsia" w:cs="Arial"/>
          <w:noProof/>
        </w:rPr>
        <w:t>Corporate Communication &amp; Branding (CCB)</w:t>
      </w:r>
      <w:r>
        <w:rPr>
          <w:rFonts w:eastAsiaTheme="minorEastAsia" w:cs="Arial"/>
          <w:noProof/>
        </w:rPr>
        <w:br/>
      </w:r>
      <w:proofErr w:type="spellStart"/>
      <w:r>
        <w:rPr>
          <w:rFonts w:cs="Arial"/>
        </w:rPr>
        <w:t>Marienwerderstr</w:t>
      </w:r>
      <w:proofErr w:type="spellEnd"/>
      <w:r>
        <w:rPr>
          <w:rFonts w:cs="Arial"/>
        </w:rPr>
        <w:t>. 3</w:t>
      </w:r>
    </w:p>
    <w:p w14:paraId="43EEB10D" w14:textId="77777777" w:rsidR="00EB6695" w:rsidRDefault="00EB6695" w:rsidP="00EB6695">
      <w:pPr>
        <w:spacing w:line="240" w:lineRule="auto"/>
        <w:rPr>
          <w:rFonts w:cs="Arial"/>
        </w:rPr>
      </w:pPr>
      <w:r>
        <w:rPr>
          <w:rFonts w:cs="Arial"/>
        </w:rPr>
        <w:t>32339 Espelkamp</w:t>
      </w:r>
    </w:p>
    <w:p w14:paraId="75096971" w14:textId="080C30A0" w:rsidR="00C774CA" w:rsidRDefault="00EB6695" w:rsidP="0002519F">
      <w:pPr>
        <w:spacing w:line="240" w:lineRule="auto"/>
        <w:rPr>
          <w:rStyle w:val="Hyperlink"/>
        </w:rPr>
      </w:pPr>
      <w:r>
        <w:rPr>
          <w:rFonts w:cs="Arial"/>
        </w:rPr>
        <w:t>Tel.: 05772 47-244</w:t>
      </w:r>
      <w:r>
        <w:rPr>
          <w:rFonts w:cs="Arial"/>
        </w:rPr>
        <w:br/>
        <w:t>Fax: 05772 47-400</w:t>
      </w:r>
      <w:r>
        <w:rPr>
          <w:rFonts w:cs="Arial"/>
        </w:rPr>
        <w:br/>
      </w:r>
      <w:hyperlink r:id="rId13" w:history="1">
        <w:r>
          <w:rPr>
            <w:rStyle w:val="Hyperlink"/>
            <w:rFonts w:cs="Arial"/>
          </w:rPr>
          <w:t>Detlef.Sieverdingbeck@HARTING.com</w:t>
        </w:r>
      </w:hyperlink>
      <w:r>
        <w:br/>
      </w:r>
      <w:r>
        <w:rPr>
          <w:rFonts w:cs="Arial"/>
        </w:rPr>
        <w:t xml:space="preserve">Weitere Informationen: </w:t>
      </w:r>
      <w:hyperlink r:id="rId14" w:history="1">
        <w:r>
          <w:rPr>
            <w:rStyle w:val="Hyperlink"/>
            <w:rFonts w:cs="Arial"/>
          </w:rPr>
          <w:t>www.</w:t>
        </w:r>
        <w:r>
          <w:rPr>
            <w:rStyle w:val="Hyperlink"/>
          </w:rPr>
          <w:t>HARTING.com</w:t>
        </w:r>
      </w:hyperlink>
    </w:p>
    <w:sectPr w:rsidR="00C774CA" w:rsidSect="002C38B2">
      <w:headerReference w:type="default" r:id="rId15"/>
      <w:pgSz w:w="11906" w:h="16838" w:code="9"/>
      <w:pgMar w:top="2658" w:right="964" w:bottom="1134" w:left="136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CE276" w14:textId="77777777" w:rsidR="00D93B2E" w:rsidRDefault="00D93B2E" w:rsidP="001A06E0">
      <w:pPr>
        <w:spacing w:after="0" w:line="240" w:lineRule="auto"/>
      </w:pPr>
      <w:r>
        <w:separator/>
      </w:r>
    </w:p>
  </w:endnote>
  <w:endnote w:type="continuationSeparator" w:id="0">
    <w:p w14:paraId="29E446FA" w14:textId="77777777" w:rsidR="00D93B2E" w:rsidRDefault="00D93B2E" w:rsidP="001A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B038A" w14:textId="77777777" w:rsidR="00D93B2E" w:rsidRDefault="00D93B2E" w:rsidP="001A06E0">
      <w:pPr>
        <w:spacing w:after="0" w:line="240" w:lineRule="auto"/>
      </w:pPr>
      <w:r>
        <w:separator/>
      </w:r>
    </w:p>
  </w:footnote>
  <w:footnote w:type="continuationSeparator" w:id="0">
    <w:p w14:paraId="6666C431" w14:textId="77777777" w:rsidR="00D93B2E" w:rsidRDefault="00D93B2E" w:rsidP="001A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E4DB7" w14:textId="77777777" w:rsidR="002D4B0F" w:rsidRDefault="002D4B0F" w:rsidP="00A9382E">
    <w:pPr>
      <w:pStyle w:val="Titel"/>
    </w:pPr>
    <w:r w:rsidRPr="00A9382E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49C84F6" wp14:editId="23A59002">
          <wp:simplePos x="0" y="0"/>
          <wp:positionH relativeFrom="column">
            <wp:posOffset>-853440</wp:posOffset>
          </wp:positionH>
          <wp:positionV relativeFrom="paragraph">
            <wp:posOffset>-440690</wp:posOffset>
          </wp:positionV>
          <wp:extent cx="7560000" cy="1080000"/>
          <wp:effectExtent l="0" t="0" r="3175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03_Kopf Pressebo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382E">
      <w:t>Presseinformation</w:t>
    </w:r>
  </w:p>
  <w:p w14:paraId="05782672" w14:textId="2145FDCE" w:rsidR="002D4B0F" w:rsidRPr="008724CD" w:rsidRDefault="00EB6695" w:rsidP="00E916B2">
    <w:pPr>
      <w:spacing w:before="960" w:after="0"/>
      <w:jc w:val="right"/>
      <w:rPr>
        <w:sz w:val="20"/>
        <w:szCs w:val="20"/>
      </w:rPr>
    </w:pPr>
    <w:r>
      <w:rPr>
        <w:sz w:val="20"/>
        <w:szCs w:val="20"/>
      </w:rPr>
      <w:t>November</w:t>
    </w:r>
    <w:r w:rsidR="00AC3485">
      <w:rPr>
        <w:sz w:val="20"/>
        <w:szCs w:val="20"/>
      </w:rPr>
      <w:t xml:space="preserve"> </w:t>
    </w:r>
    <w:r w:rsidR="002D4B0F" w:rsidRPr="008724CD">
      <w:rPr>
        <w:sz w:val="20"/>
        <w:szCs w:val="20"/>
      </w:rPr>
      <w:t>20</w:t>
    </w:r>
    <w:r w:rsidR="009D6980">
      <w:rPr>
        <w:sz w:val="20"/>
        <w:szCs w:val="20"/>
      </w:rPr>
      <w:t>21</w:t>
    </w:r>
    <w:r w:rsidR="002D4B0F" w:rsidRPr="008724CD">
      <w:rPr>
        <w:sz w:val="20"/>
        <w:szCs w:val="20"/>
      </w:rPr>
      <w:t xml:space="preserve">, Seite </w:t>
    </w:r>
    <w:r w:rsidR="002D4B0F" w:rsidRPr="008724CD">
      <w:rPr>
        <w:rStyle w:val="Seitenzahl"/>
        <w:rFonts w:cs="Arial"/>
        <w:sz w:val="20"/>
        <w:szCs w:val="20"/>
      </w:rPr>
      <w:fldChar w:fldCharType="begin"/>
    </w:r>
    <w:r w:rsidR="002D4B0F" w:rsidRPr="008724CD">
      <w:rPr>
        <w:rStyle w:val="Seitenzahl"/>
        <w:rFonts w:cs="Arial"/>
        <w:sz w:val="20"/>
        <w:szCs w:val="20"/>
      </w:rPr>
      <w:instrText xml:space="preserve"> PAGE </w:instrText>
    </w:r>
    <w:r w:rsidR="002D4B0F" w:rsidRPr="008724CD">
      <w:rPr>
        <w:rStyle w:val="Seitenzahl"/>
        <w:rFonts w:cs="Arial"/>
        <w:sz w:val="20"/>
        <w:szCs w:val="20"/>
      </w:rPr>
      <w:fldChar w:fldCharType="separate"/>
    </w:r>
    <w:r w:rsidR="009F727A">
      <w:rPr>
        <w:rStyle w:val="Seitenzahl"/>
        <w:rFonts w:cs="Arial"/>
        <w:noProof/>
        <w:sz w:val="20"/>
        <w:szCs w:val="20"/>
      </w:rPr>
      <w:t>2</w:t>
    </w:r>
    <w:r w:rsidR="002D4B0F" w:rsidRPr="008724CD">
      <w:rPr>
        <w:rStyle w:val="Seitenzahl"/>
        <w:rFonts w:cs="Arial"/>
        <w:sz w:val="20"/>
        <w:szCs w:val="20"/>
      </w:rPr>
      <w:fldChar w:fldCharType="end"/>
    </w:r>
    <w:r w:rsidR="002D4B0F">
      <w:rPr>
        <w:rStyle w:val="Seitenzahl"/>
        <w:rFonts w:cs="Arial"/>
        <w:szCs w:val="20"/>
      </w:rPr>
      <w:t xml:space="preserve"> /</w:t>
    </w:r>
    <w:r w:rsidR="002D4B0F" w:rsidRPr="008724CD">
      <w:rPr>
        <w:rStyle w:val="Seitenzahl"/>
        <w:rFonts w:cs="Arial"/>
        <w:sz w:val="20"/>
        <w:szCs w:val="20"/>
      </w:rPr>
      <w:t xml:space="preserve"> </w:t>
    </w:r>
    <w:r w:rsidR="002D4B0F" w:rsidRPr="008724CD">
      <w:rPr>
        <w:rStyle w:val="Seitenzahl"/>
        <w:rFonts w:cs="Arial"/>
        <w:sz w:val="20"/>
        <w:szCs w:val="20"/>
      </w:rPr>
      <w:fldChar w:fldCharType="begin"/>
    </w:r>
    <w:r w:rsidR="002D4B0F" w:rsidRPr="008724CD">
      <w:rPr>
        <w:rStyle w:val="Seitenzahl"/>
        <w:rFonts w:cs="Arial"/>
        <w:sz w:val="20"/>
        <w:szCs w:val="20"/>
      </w:rPr>
      <w:instrText xml:space="preserve"> NUMPAGES </w:instrText>
    </w:r>
    <w:r w:rsidR="002D4B0F" w:rsidRPr="008724CD">
      <w:rPr>
        <w:rStyle w:val="Seitenzahl"/>
        <w:rFonts w:cs="Arial"/>
        <w:sz w:val="20"/>
        <w:szCs w:val="20"/>
      </w:rPr>
      <w:fldChar w:fldCharType="separate"/>
    </w:r>
    <w:r w:rsidR="009F727A">
      <w:rPr>
        <w:rStyle w:val="Seitenzahl"/>
        <w:rFonts w:cs="Arial"/>
        <w:noProof/>
        <w:sz w:val="20"/>
        <w:szCs w:val="20"/>
      </w:rPr>
      <w:t>2</w:t>
    </w:r>
    <w:r w:rsidR="002D4B0F" w:rsidRPr="008724CD">
      <w:rPr>
        <w:rStyle w:val="Seitenzahl"/>
        <w:rFonts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6428"/>
    <w:multiLevelType w:val="hybridMultilevel"/>
    <w:tmpl w:val="59DCEA7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EE5C30"/>
    <w:multiLevelType w:val="hybridMultilevel"/>
    <w:tmpl w:val="D86EA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80460"/>
    <w:multiLevelType w:val="hybridMultilevel"/>
    <w:tmpl w:val="22545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575E2"/>
    <w:multiLevelType w:val="hybridMultilevel"/>
    <w:tmpl w:val="7BC828F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9CD"/>
    <w:rsid w:val="000009CD"/>
    <w:rsid w:val="00005DCD"/>
    <w:rsid w:val="00011E09"/>
    <w:rsid w:val="0002075C"/>
    <w:rsid w:val="0002519F"/>
    <w:rsid w:val="00032286"/>
    <w:rsid w:val="000413B8"/>
    <w:rsid w:val="00041E42"/>
    <w:rsid w:val="00043736"/>
    <w:rsid w:val="0004673F"/>
    <w:rsid w:val="00051796"/>
    <w:rsid w:val="00057C84"/>
    <w:rsid w:val="000638D6"/>
    <w:rsid w:val="00066487"/>
    <w:rsid w:val="00066CE9"/>
    <w:rsid w:val="00074EF3"/>
    <w:rsid w:val="00077D57"/>
    <w:rsid w:val="00080992"/>
    <w:rsid w:val="00087C42"/>
    <w:rsid w:val="00092A8B"/>
    <w:rsid w:val="000941AB"/>
    <w:rsid w:val="00095E68"/>
    <w:rsid w:val="000A5AAB"/>
    <w:rsid w:val="000B2F09"/>
    <w:rsid w:val="000B503C"/>
    <w:rsid w:val="000C0421"/>
    <w:rsid w:val="000C0B44"/>
    <w:rsid w:val="000C493C"/>
    <w:rsid w:val="000D0E71"/>
    <w:rsid w:val="000D3604"/>
    <w:rsid w:val="000E0627"/>
    <w:rsid w:val="000E33BF"/>
    <w:rsid w:val="000F47DF"/>
    <w:rsid w:val="0010083A"/>
    <w:rsid w:val="001029FF"/>
    <w:rsid w:val="00103964"/>
    <w:rsid w:val="0010677D"/>
    <w:rsid w:val="00107DCC"/>
    <w:rsid w:val="00112F82"/>
    <w:rsid w:val="001133CA"/>
    <w:rsid w:val="0011357B"/>
    <w:rsid w:val="00120248"/>
    <w:rsid w:val="001515D9"/>
    <w:rsid w:val="00161256"/>
    <w:rsid w:val="001626B5"/>
    <w:rsid w:val="00165EB6"/>
    <w:rsid w:val="00171C59"/>
    <w:rsid w:val="001848F2"/>
    <w:rsid w:val="001A06E0"/>
    <w:rsid w:val="001A1AC4"/>
    <w:rsid w:val="001A5D69"/>
    <w:rsid w:val="001A675A"/>
    <w:rsid w:val="001B1FE1"/>
    <w:rsid w:val="001C002A"/>
    <w:rsid w:val="001C392A"/>
    <w:rsid w:val="001D3386"/>
    <w:rsid w:val="001E30C2"/>
    <w:rsid w:val="001F7888"/>
    <w:rsid w:val="001F7C54"/>
    <w:rsid w:val="00207B86"/>
    <w:rsid w:val="002111DB"/>
    <w:rsid w:val="0021432E"/>
    <w:rsid w:val="0022477A"/>
    <w:rsid w:val="002278FB"/>
    <w:rsid w:val="00233422"/>
    <w:rsid w:val="00247A17"/>
    <w:rsid w:val="00251543"/>
    <w:rsid w:val="00265BFC"/>
    <w:rsid w:val="00265C1B"/>
    <w:rsid w:val="00285D1B"/>
    <w:rsid w:val="002915D3"/>
    <w:rsid w:val="00291911"/>
    <w:rsid w:val="002A3208"/>
    <w:rsid w:val="002B316A"/>
    <w:rsid w:val="002C38B2"/>
    <w:rsid w:val="002C578E"/>
    <w:rsid w:val="002C645D"/>
    <w:rsid w:val="002C657D"/>
    <w:rsid w:val="002C6A12"/>
    <w:rsid w:val="002D0838"/>
    <w:rsid w:val="002D4B0F"/>
    <w:rsid w:val="002D714D"/>
    <w:rsid w:val="002F5307"/>
    <w:rsid w:val="00300B8D"/>
    <w:rsid w:val="0031148D"/>
    <w:rsid w:val="00313819"/>
    <w:rsid w:val="00314E5F"/>
    <w:rsid w:val="00320915"/>
    <w:rsid w:val="003278B6"/>
    <w:rsid w:val="00334162"/>
    <w:rsid w:val="003422C3"/>
    <w:rsid w:val="00345E9D"/>
    <w:rsid w:val="0035647F"/>
    <w:rsid w:val="00363572"/>
    <w:rsid w:val="00363621"/>
    <w:rsid w:val="0036435F"/>
    <w:rsid w:val="003656CB"/>
    <w:rsid w:val="00365C16"/>
    <w:rsid w:val="003763FD"/>
    <w:rsid w:val="00384A80"/>
    <w:rsid w:val="0038665E"/>
    <w:rsid w:val="00394315"/>
    <w:rsid w:val="0039679B"/>
    <w:rsid w:val="003A04E2"/>
    <w:rsid w:val="003A05CA"/>
    <w:rsid w:val="003A12F0"/>
    <w:rsid w:val="003A7145"/>
    <w:rsid w:val="003A7B07"/>
    <w:rsid w:val="003C5F38"/>
    <w:rsid w:val="003D0A01"/>
    <w:rsid w:val="003E3053"/>
    <w:rsid w:val="003E3AB4"/>
    <w:rsid w:val="003F4FD3"/>
    <w:rsid w:val="003F500A"/>
    <w:rsid w:val="00401EA3"/>
    <w:rsid w:val="00403516"/>
    <w:rsid w:val="00414064"/>
    <w:rsid w:val="00432158"/>
    <w:rsid w:val="0043366B"/>
    <w:rsid w:val="0044125F"/>
    <w:rsid w:val="00441BB6"/>
    <w:rsid w:val="004422F4"/>
    <w:rsid w:val="004524BB"/>
    <w:rsid w:val="0045659D"/>
    <w:rsid w:val="00456E1A"/>
    <w:rsid w:val="00461933"/>
    <w:rsid w:val="00463FD7"/>
    <w:rsid w:val="004641BD"/>
    <w:rsid w:val="004662A7"/>
    <w:rsid w:val="00470CE5"/>
    <w:rsid w:val="00475235"/>
    <w:rsid w:val="004848E3"/>
    <w:rsid w:val="004953AC"/>
    <w:rsid w:val="004A58A3"/>
    <w:rsid w:val="004C4600"/>
    <w:rsid w:val="004F26B0"/>
    <w:rsid w:val="00514B8B"/>
    <w:rsid w:val="00523FC3"/>
    <w:rsid w:val="00527457"/>
    <w:rsid w:val="0053567D"/>
    <w:rsid w:val="0054456C"/>
    <w:rsid w:val="005459AC"/>
    <w:rsid w:val="005464E0"/>
    <w:rsid w:val="0055232C"/>
    <w:rsid w:val="005652E3"/>
    <w:rsid w:val="00571925"/>
    <w:rsid w:val="00576A13"/>
    <w:rsid w:val="005805F6"/>
    <w:rsid w:val="00586079"/>
    <w:rsid w:val="00592331"/>
    <w:rsid w:val="00595EB4"/>
    <w:rsid w:val="005A73D9"/>
    <w:rsid w:val="005A78DA"/>
    <w:rsid w:val="005B4513"/>
    <w:rsid w:val="005C010F"/>
    <w:rsid w:val="005C0ADD"/>
    <w:rsid w:val="005C289C"/>
    <w:rsid w:val="005C6C0A"/>
    <w:rsid w:val="005C6EE2"/>
    <w:rsid w:val="005D4D23"/>
    <w:rsid w:val="005D65C3"/>
    <w:rsid w:val="005D666E"/>
    <w:rsid w:val="005E1DF2"/>
    <w:rsid w:val="005E490F"/>
    <w:rsid w:val="005F16B8"/>
    <w:rsid w:val="0060311C"/>
    <w:rsid w:val="00603C38"/>
    <w:rsid w:val="00621FE0"/>
    <w:rsid w:val="00634655"/>
    <w:rsid w:val="006347E7"/>
    <w:rsid w:val="00636ADF"/>
    <w:rsid w:val="00637BC9"/>
    <w:rsid w:val="00641966"/>
    <w:rsid w:val="006424D4"/>
    <w:rsid w:val="00651080"/>
    <w:rsid w:val="006517EB"/>
    <w:rsid w:val="006555D2"/>
    <w:rsid w:val="00660C96"/>
    <w:rsid w:val="00663149"/>
    <w:rsid w:val="0067629E"/>
    <w:rsid w:val="0068294C"/>
    <w:rsid w:val="006835E7"/>
    <w:rsid w:val="006977ED"/>
    <w:rsid w:val="006A26D9"/>
    <w:rsid w:val="006A3981"/>
    <w:rsid w:val="006B1E62"/>
    <w:rsid w:val="006B33E7"/>
    <w:rsid w:val="006B59E5"/>
    <w:rsid w:val="006C2144"/>
    <w:rsid w:val="006D0858"/>
    <w:rsid w:val="006D3C51"/>
    <w:rsid w:val="006D7570"/>
    <w:rsid w:val="006D7BE8"/>
    <w:rsid w:val="006E2CD1"/>
    <w:rsid w:val="00703E18"/>
    <w:rsid w:val="00711B80"/>
    <w:rsid w:val="007123BB"/>
    <w:rsid w:val="00714351"/>
    <w:rsid w:val="007148FE"/>
    <w:rsid w:val="00716FE5"/>
    <w:rsid w:val="00721542"/>
    <w:rsid w:val="007264AD"/>
    <w:rsid w:val="00730C33"/>
    <w:rsid w:val="00737F64"/>
    <w:rsid w:val="00752AE1"/>
    <w:rsid w:val="007636D6"/>
    <w:rsid w:val="00770CC5"/>
    <w:rsid w:val="00773738"/>
    <w:rsid w:val="00790BEC"/>
    <w:rsid w:val="0079168B"/>
    <w:rsid w:val="007A037D"/>
    <w:rsid w:val="007A2004"/>
    <w:rsid w:val="007A331A"/>
    <w:rsid w:val="007A3D54"/>
    <w:rsid w:val="007C337B"/>
    <w:rsid w:val="007D5E9F"/>
    <w:rsid w:val="007E7A90"/>
    <w:rsid w:val="007E7E77"/>
    <w:rsid w:val="007F4ABA"/>
    <w:rsid w:val="007F4B05"/>
    <w:rsid w:val="007F5B5C"/>
    <w:rsid w:val="007F6D7F"/>
    <w:rsid w:val="007F7E39"/>
    <w:rsid w:val="008007DE"/>
    <w:rsid w:val="008062D5"/>
    <w:rsid w:val="00807570"/>
    <w:rsid w:val="008424F9"/>
    <w:rsid w:val="008512E3"/>
    <w:rsid w:val="00855FE3"/>
    <w:rsid w:val="00857F05"/>
    <w:rsid w:val="00865ED3"/>
    <w:rsid w:val="008724CD"/>
    <w:rsid w:val="00883EEF"/>
    <w:rsid w:val="0089331D"/>
    <w:rsid w:val="008A0F61"/>
    <w:rsid w:val="008A28BB"/>
    <w:rsid w:val="008A5296"/>
    <w:rsid w:val="008B6C8C"/>
    <w:rsid w:val="008B7387"/>
    <w:rsid w:val="008D6F37"/>
    <w:rsid w:val="008E6F64"/>
    <w:rsid w:val="008F72F6"/>
    <w:rsid w:val="00900160"/>
    <w:rsid w:val="009012CA"/>
    <w:rsid w:val="00902DD5"/>
    <w:rsid w:val="00906216"/>
    <w:rsid w:val="00913D35"/>
    <w:rsid w:val="009204AD"/>
    <w:rsid w:val="00933635"/>
    <w:rsid w:val="00956FC1"/>
    <w:rsid w:val="00960B4D"/>
    <w:rsid w:val="009674FE"/>
    <w:rsid w:val="0097356D"/>
    <w:rsid w:val="00974D73"/>
    <w:rsid w:val="00975654"/>
    <w:rsid w:val="00975F80"/>
    <w:rsid w:val="00977990"/>
    <w:rsid w:val="009802C6"/>
    <w:rsid w:val="00982B1D"/>
    <w:rsid w:val="009857DE"/>
    <w:rsid w:val="009A0086"/>
    <w:rsid w:val="009A0C86"/>
    <w:rsid w:val="009A6EBE"/>
    <w:rsid w:val="009B1036"/>
    <w:rsid w:val="009B161D"/>
    <w:rsid w:val="009B3DB2"/>
    <w:rsid w:val="009B5901"/>
    <w:rsid w:val="009B5A34"/>
    <w:rsid w:val="009B7359"/>
    <w:rsid w:val="009C242A"/>
    <w:rsid w:val="009C4389"/>
    <w:rsid w:val="009C44DB"/>
    <w:rsid w:val="009D027A"/>
    <w:rsid w:val="009D3F1C"/>
    <w:rsid w:val="009D6980"/>
    <w:rsid w:val="009E1EE9"/>
    <w:rsid w:val="009F0706"/>
    <w:rsid w:val="009F1362"/>
    <w:rsid w:val="009F3172"/>
    <w:rsid w:val="009F4253"/>
    <w:rsid w:val="009F4BD8"/>
    <w:rsid w:val="009F69B3"/>
    <w:rsid w:val="009F727A"/>
    <w:rsid w:val="00A0177E"/>
    <w:rsid w:val="00A032D0"/>
    <w:rsid w:val="00A03906"/>
    <w:rsid w:val="00A04FE0"/>
    <w:rsid w:val="00A059B0"/>
    <w:rsid w:val="00A05B6C"/>
    <w:rsid w:val="00A10EA9"/>
    <w:rsid w:val="00A158C4"/>
    <w:rsid w:val="00A202A2"/>
    <w:rsid w:val="00A24A3B"/>
    <w:rsid w:val="00A255B6"/>
    <w:rsid w:val="00A26C9C"/>
    <w:rsid w:val="00A324E3"/>
    <w:rsid w:val="00A4412C"/>
    <w:rsid w:val="00A604E4"/>
    <w:rsid w:val="00A61C7F"/>
    <w:rsid w:val="00A70F8E"/>
    <w:rsid w:val="00A812CF"/>
    <w:rsid w:val="00A8664A"/>
    <w:rsid w:val="00A93156"/>
    <w:rsid w:val="00A9382E"/>
    <w:rsid w:val="00A9470B"/>
    <w:rsid w:val="00A96339"/>
    <w:rsid w:val="00A97390"/>
    <w:rsid w:val="00AB3142"/>
    <w:rsid w:val="00AB34EE"/>
    <w:rsid w:val="00AB4C0A"/>
    <w:rsid w:val="00AB792F"/>
    <w:rsid w:val="00AC07F1"/>
    <w:rsid w:val="00AC3485"/>
    <w:rsid w:val="00AC45B7"/>
    <w:rsid w:val="00AC5DDF"/>
    <w:rsid w:val="00AC7575"/>
    <w:rsid w:val="00AC7B35"/>
    <w:rsid w:val="00AD58A2"/>
    <w:rsid w:val="00AE79CC"/>
    <w:rsid w:val="00AF0BD3"/>
    <w:rsid w:val="00B01D32"/>
    <w:rsid w:val="00B12B50"/>
    <w:rsid w:val="00B17FFC"/>
    <w:rsid w:val="00B24A36"/>
    <w:rsid w:val="00B31185"/>
    <w:rsid w:val="00B32A25"/>
    <w:rsid w:val="00B33FDF"/>
    <w:rsid w:val="00B37109"/>
    <w:rsid w:val="00B4193F"/>
    <w:rsid w:val="00B42EC2"/>
    <w:rsid w:val="00B44F77"/>
    <w:rsid w:val="00B46D7D"/>
    <w:rsid w:val="00B51A3C"/>
    <w:rsid w:val="00B557E9"/>
    <w:rsid w:val="00B55DB0"/>
    <w:rsid w:val="00B6197C"/>
    <w:rsid w:val="00B65F15"/>
    <w:rsid w:val="00B6670C"/>
    <w:rsid w:val="00B67E7A"/>
    <w:rsid w:val="00B700B7"/>
    <w:rsid w:val="00B7500A"/>
    <w:rsid w:val="00B87930"/>
    <w:rsid w:val="00B9159F"/>
    <w:rsid w:val="00B94CD7"/>
    <w:rsid w:val="00BA38F3"/>
    <w:rsid w:val="00BB5364"/>
    <w:rsid w:val="00BC07F4"/>
    <w:rsid w:val="00BC26C8"/>
    <w:rsid w:val="00BC2F2C"/>
    <w:rsid w:val="00BC4120"/>
    <w:rsid w:val="00BC7D6F"/>
    <w:rsid w:val="00BD12FC"/>
    <w:rsid w:val="00BD389B"/>
    <w:rsid w:val="00BD47E0"/>
    <w:rsid w:val="00BE43B8"/>
    <w:rsid w:val="00BF0A4F"/>
    <w:rsid w:val="00BF3DDA"/>
    <w:rsid w:val="00BF7E4D"/>
    <w:rsid w:val="00C03E2B"/>
    <w:rsid w:val="00C069D1"/>
    <w:rsid w:val="00C12596"/>
    <w:rsid w:val="00C169C9"/>
    <w:rsid w:val="00C16D86"/>
    <w:rsid w:val="00C30B1C"/>
    <w:rsid w:val="00C32525"/>
    <w:rsid w:val="00C33D2B"/>
    <w:rsid w:val="00C34C0E"/>
    <w:rsid w:val="00C473E1"/>
    <w:rsid w:val="00C4772C"/>
    <w:rsid w:val="00C51EF8"/>
    <w:rsid w:val="00C64DFE"/>
    <w:rsid w:val="00C666E5"/>
    <w:rsid w:val="00C7740A"/>
    <w:rsid w:val="00C774CA"/>
    <w:rsid w:val="00C80F73"/>
    <w:rsid w:val="00C81F36"/>
    <w:rsid w:val="00C920DC"/>
    <w:rsid w:val="00C941D3"/>
    <w:rsid w:val="00C9564A"/>
    <w:rsid w:val="00CA4097"/>
    <w:rsid w:val="00CA4578"/>
    <w:rsid w:val="00CB0AC9"/>
    <w:rsid w:val="00CB2FF5"/>
    <w:rsid w:val="00CD31E2"/>
    <w:rsid w:val="00CD3207"/>
    <w:rsid w:val="00CD44B2"/>
    <w:rsid w:val="00CD7111"/>
    <w:rsid w:val="00CE4110"/>
    <w:rsid w:val="00CE537B"/>
    <w:rsid w:val="00D05163"/>
    <w:rsid w:val="00D06560"/>
    <w:rsid w:val="00D1151E"/>
    <w:rsid w:val="00D3151F"/>
    <w:rsid w:val="00D463F6"/>
    <w:rsid w:val="00D510F9"/>
    <w:rsid w:val="00D61F17"/>
    <w:rsid w:val="00D6230D"/>
    <w:rsid w:val="00D623B2"/>
    <w:rsid w:val="00D63809"/>
    <w:rsid w:val="00D743A8"/>
    <w:rsid w:val="00D80942"/>
    <w:rsid w:val="00D857A7"/>
    <w:rsid w:val="00D9160D"/>
    <w:rsid w:val="00D93B2E"/>
    <w:rsid w:val="00DA0B84"/>
    <w:rsid w:val="00DA5453"/>
    <w:rsid w:val="00DB4F85"/>
    <w:rsid w:val="00DB71A4"/>
    <w:rsid w:val="00DB76FB"/>
    <w:rsid w:val="00DC56C4"/>
    <w:rsid w:val="00DD14C6"/>
    <w:rsid w:val="00DD7959"/>
    <w:rsid w:val="00DE053E"/>
    <w:rsid w:val="00DE2E12"/>
    <w:rsid w:val="00DE3851"/>
    <w:rsid w:val="00DE7DEB"/>
    <w:rsid w:val="00DF49EF"/>
    <w:rsid w:val="00E0540F"/>
    <w:rsid w:val="00E1116B"/>
    <w:rsid w:val="00E15831"/>
    <w:rsid w:val="00E209FC"/>
    <w:rsid w:val="00E20E6A"/>
    <w:rsid w:val="00E243D3"/>
    <w:rsid w:val="00E30A1C"/>
    <w:rsid w:val="00E348DA"/>
    <w:rsid w:val="00E368EE"/>
    <w:rsid w:val="00E37DA3"/>
    <w:rsid w:val="00E56A55"/>
    <w:rsid w:val="00E61832"/>
    <w:rsid w:val="00E63B9E"/>
    <w:rsid w:val="00E77686"/>
    <w:rsid w:val="00E850F9"/>
    <w:rsid w:val="00E859BC"/>
    <w:rsid w:val="00E916B2"/>
    <w:rsid w:val="00E95E5C"/>
    <w:rsid w:val="00EA300E"/>
    <w:rsid w:val="00EB037E"/>
    <w:rsid w:val="00EB04F3"/>
    <w:rsid w:val="00EB527B"/>
    <w:rsid w:val="00EB6695"/>
    <w:rsid w:val="00EC4E58"/>
    <w:rsid w:val="00ED3903"/>
    <w:rsid w:val="00ED40DC"/>
    <w:rsid w:val="00ED6485"/>
    <w:rsid w:val="00F00E07"/>
    <w:rsid w:val="00F0199D"/>
    <w:rsid w:val="00F07C26"/>
    <w:rsid w:val="00F14772"/>
    <w:rsid w:val="00F20446"/>
    <w:rsid w:val="00F222A4"/>
    <w:rsid w:val="00F24FA1"/>
    <w:rsid w:val="00F2529C"/>
    <w:rsid w:val="00F26480"/>
    <w:rsid w:val="00F27FFB"/>
    <w:rsid w:val="00F305E9"/>
    <w:rsid w:val="00F3514B"/>
    <w:rsid w:val="00F43CFA"/>
    <w:rsid w:val="00F45C21"/>
    <w:rsid w:val="00F500CC"/>
    <w:rsid w:val="00F501A7"/>
    <w:rsid w:val="00F510CD"/>
    <w:rsid w:val="00F63138"/>
    <w:rsid w:val="00F6726A"/>
    <w:rsid w:val="00F7169F"/>
    <w:rsid w:val="00F7264B"/>
    <w:rsid w:val="00F74CDD"/>
    <w:rsid w:val="00F80F5A"/>
    <w:rsid w:val="00F844A4"/>
    <w:rsid w:val="00F84EF0"/>
    <w:rsid w:val="00F86840"/>
    <w:rsid w:val="00F86EF1"/>
    <w:rsid w:val="00FB5065"/>
    <w:rsid w:val="00FB7300"/>
    <w:rsid w:val="00FB7AF8"/>
    <w:rsid w:val="00FC5648"/>
    <w:rsid w:val="00FD3D08"/>
    <w:rsid w:val="00FD43D8"/>
    <w:rsid w:val="00FE67B3"/>
    <w:rsid w:val="00FF649D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A00F42E"/>
  <w15:docId w15:val="{D89C4BE9-3C13-437A-91A4-80351EBE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382E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38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62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662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6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A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6E0"/>
  </w:style>
  <w:style w:type="paragraph" w:styleId="Fuzeile">
    <w:name w:val="footer"/>
    <w:basedOn w:val="Standard"/>
    <w:link w:val="FuzeileZchn"/>
    <w:uiPriority w:val="99"/>
    <w:unhideWhenUsed/>
    <w:rsid w:val="001A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6E0"/>
  </w:style>
  <w:style w:type="paragraph" w:styleId="KeinLeerraum">
    <w:name w:val="No Spacing"/>
    <w:uiPriority w:val="1"/>
    <w:qFormat/>
    <w:rsid w:val="001A06E0"/>
    <w:pPr>
      <w:spacing w:after="0" w:line="240" w:lineRule="auto"/>
    </w:pPr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382E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styleId="Seitenzahl">
    <w:name w:val="page number"/>
    <w:basedOn w:val="Absatz-Standardschriftart"/>
    <w:rsid w:val="008724CD"/>
  </w:style>
  <w:style w:type="paragraph" w:customStyle="1" w:styleId="EinfAbs">
    <w:name w:val="[Einf. Abs.]"/>
    <w:basedOn w:val="Standard"/>
    <w:uiPriority w:val="99"/>
    <w:rsid w:val="00A9382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9382E"/>
    <w:pPr>
      <w:spacing w:before="120" w:after="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9382E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styleId="Hyperlink">
    <w:name w:val="Hyperlink"/>
    <w:semiHidden/>
    <w:rsid w:val="00A9382E"/>
    <w:rPr>
      <w:color w:val="0000FF"/>
      <w:u w:val="single"/>
    </w:rPr>
  </w:style>
  <w:style w:type="paragraph" w:styleId="Textkrper3">
    <w:name w:val="Body Text 3"/>
    <w:link w:val="Textkrper3Zchn"/>
    <w:semiHidden/>
    <w:unhideWhenUsed/>
    <w:rsid w:val="00DD14C6"/>
    <w:pPr>
      <w:spacing w:after="120"/>
    </w:pPr>
    <w:rPr>
      <w:rFonts w:ascii="Arial" w:eastAsia="Arial Unicode MS" w:hAnsi="Arial" w:cs="Arial Unicode MS"/>
      <w:color w:val="000000"/>
      <w:sz w:val="16"/>
      <w:szCs w:val="16"/>
      <w:u w:color="00000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DD14C6"/>
    <w:rPr>
      <w:rFonts w:ascii="Arial" w:eastAsia="Arial Unicode MS" w:hAnsi="Arial" w:cs="Arial Unicode MS"/>
      <w:color w:val="000000"/>
      <w:sz w:val="16"/>
      <w:szCs w:val="16"/>
      <w:u w:color="00000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5B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5B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5B6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5B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5B6C"/>
    <w:rPr>
      <w:rFonts w:ascii="Arial" w:hAnsi="Arial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F501A7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501A7"/>
  </w:style>
  <w:style w:type="paragraph" w:styleId="berarbeitung">
    <w:name w:val="Revision"/>
    <w:hidden/>
    <w:uiPriority w:val="99"/>
    <w:semiHidden/>
    <w:rsid w:val="00334162"/>
    <w:pPr>
      <w:spacing w:after="0" w:line="240" w:lineRule="auto"/>
    </w:pPr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A158C4"/>
    <w:pPr>
      <w:ind w:left="720"/>
      <w:contextualSpacing/>
    </w:pPr>
    <w:rPr>
      <w:rFonts w:asciiTheme="minorHAnsi" w:hAnsiTheme="minorHAnsi"/>
      <w:sz w:val="22"/>
    </w:rPr>
  </w:style>
  <w:style w:type="paragraph" w:customStyle="1" w:styleId="paragraph">
    <w:name w:val="paragraph"/>
    <w:basedOn w:val="Standard"/>
    <w:rsid w:val="00EB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EB037E"/>
  </w:style>
  <w:style w:type="character" w:customStyle="1" w:styleId="eop">
    <w:name w:val="eop"/>
    <w:basedOn w:val="Absatz-Standardschriftart"/>
    <w:rsid w:val="00EB037E"/>
  </w:style>
  <w:style w:type="character" w:customStyle="1" w:styleId="spellingerror">
    <w:name w:val="spellingerror"/>
    <w:basedOn w:val="Absatz-Standardschriftart"/>
    <w:rsid w:val="00EB037E"/>
  </w:style>
  <w:style w:type="paragraph" w:styleId="StandardWeb">
    <w:name w:val="Normal (Web)"/>
    <w:basedOn w:val="Standard"/>
    <w:uiPriority w:val="99"/>
    <w:unhideWhenUsed/>
    <w:rsid w:val="00EB6695"/>
    <w:pPr>
      <w:spacing w:before="100" w:beforeAutospacing="1" w:after="100" w:afterAutospacing="1" w:line="240" w:lineRule="auto"/>
    </w:pPr>
    <w:rPr>
      <w:rFonts w:ascii="Calibri" w:hAnsi="Calibri" w:cs="Calibri"/>
      <w:sz w:val="22"/>
      <w:u w:color="00000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62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662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1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etlef.Sieverdingbeck@HART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AR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FC22-0551-40EE-BF32-CD23D053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HARTING KGaA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Klose, Michael</dc:creator>
  <cp:lastModifiedBy>Kuehme, Lars</cp:lastModifiedBy>
  <cp:revision>8</cp:revision>
  <cp:lastPrinted>2018-07-18T05:51:00Z</cp:lastPrinted>
  <dcterms:created xsi:type="dcterms:W3CDTF">2021-11-18T10:24:00Z</dcterms:created>
  <dcterms:modified xsi:type="dcterms:W3CDTF">2021-11-22T10:26:00Z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156776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D7.0.3</vt:lpwstr>
  </property>
</Properties>
</file>