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A755D" w14:textId="77777777" w:rsidR="00695A45" w:rsidRPr="00C43E15" w:rsidRDefault="00695A45" w:rsidP="00695A45">
      <w:pPr>
        <w:pStyle w:val="StandardWeb"/>
        <w:keepNext/>
        <w:spacing w:before="0" w:beforeAutospacing="0" w:after="0" w:afterAutospacing="0" w:line="276" w:lineRule="auto"/>
        <w:rPr>
          <w:rFonts w:ascii="Arial" w:hAnsi="Arial" w:cs="Arial"/>
          <w:b/>
          <w:bCs/>
          <w:sz w:val="24"/>
          <w:szCs w:val="24"/>
        </w:rPr>
      </w:pPr>
      <w:r w:rsidRPr="00C43E15">
        <w:rPr>
          <w:rFonts w:ascii="Arial" w:hAnsi="Arial" w:cs="Arial"/>
          <w:b/>
          <w:bCs/>
          <w:sz w:val="24"/>
          <w:szCs w:val="24"/>
        </w:rPr>
        <w:t>Flexible Verbindungslösungen für Leiterplatten</w:t>
      </w:r>
    </w:p>
    <w:p w14:paraId="3C9B8C20" w14:textId="2C350970" w:rsidR="00EB6695" w:rsidRPr="00B63A63" w:rsidRDefault="00695A45" w:rsidP="00EB6695">
      <w:pPr>
        <w:pStyle w:val="StandardWeb"/>
        <w:keepNext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HARTING mit „</w:t>
      </w:r>
      <w:r w:rsidR="00EB6695" w:rsidRPr="00B63A63">
        <w:rPr>
          <w:rFonts w:ascii="Arial" w:hAnsi="Arial" w:cs="Arial"/>
          <w:sz w:val="24"/>
          <w:szCs w:val="24"/>
        </w:rPr>
        <w:t xml:space="preserve">All for </w:t>
      </w:r>
      <w:r>
        <w:rPr>
          <w:rFonts w:ascii="Arial" w:hAnsi="Arial" w:cs="Arial"/>
          <w:sz w:val="24"/>
          <w:szCs w:val="24"/>
        </w:rPr>
        <w:t>PCB“-</w:t>
      </w:r>
      <w:r w:rsidR="00EB6695" w:rsidRPr="00B63A63">
        <w:rPr>
          <w:rFonts w:ascii="Arial" w:hAnsi="Arial" w:cs="Arial"/>
          <w:sz w:val="24"/>
          <w:szCs w:val="24"/>
        </w:rPr>
        <w:t>Lösungen</w:t>
      </w:r>
      <w:r w:rsidR="00EB6695">
        <w:rPr>
          <w:rFonts w:ascii="Arial" w:hAnsi="Arial" w:cs="Arial"/>
          <w:sz w:val="24"/>
          <w:szCs w:val="24"/>
        </w:rPr>
        <w:t xml:space="preserve"> für </w:t>
      </w:r>
      <w:r>
        <w:rPr>
          <w:rFonts w:ascii="Arial" w:hAnsi="Arial" w:cs="Arial"/>
          <w:sz w:val="24"/>
          <w:szCs w:val="24"/>
        </w:rPr>
        <w:t>Modul</w:t>
      </w:r>
      <w:r w:rsidR="00BD7E7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rität, Flexibilität und Geschwindigkeit</w:t>
      </w:r>
    </w:p>
    <w:p w14:paraId="365B8A3B" w14:textId="77777777" w:rsidR="00EB6695" w:rsidRPr="007B5A96" w:rsidRDefault="00EB6695" w:rsidP="00EB6695">
      <w:pPr>
        <w:pStyle w:val="StandardWeb"/>
        <w:keepNext/>
        <w:spacing w:before="0" w:beforeAutospacing="0" w:after="0" w:afterAutospacing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0D2D4C5" w14:textId="77777777" w:rsidR="00EB6695" w:rsidRDefault="00EB6695" w:rsidP="00EB6695"/>
    <w:p w14:paraId="18632A60" w14:textId="3D91E517" w:rsidR="00144888" w:rsidRDefault="00EB6695" w:rsidP="00144888">
      <w:pPr>
        <w:spacing w:line="360" w:lineRule="auto"/>
        <w:rPr>
          <w:rFonts w:cs="Arial"/>
          <w:b/>
          <w:bCs/>
        </w:rPr>
      </w:pPr>
      <w:r w:rsidRPr="007B5A96">
        <w:rPr>
          <w:b/>
          <w:bCs/>
        </w:rPr>
        <w:t xml:space="preserve">Espelkamp, 23. November 2021 </w:t>
      </w:r>
      <w:r w:rsidRPr="007B5A96">
        <w:rPr>
          <w:b/>
          <w:bCs/>
          <w:szCs w:val="24"/>
        </w:rPr>
        <w:t>---</w:t>
      </w:r>
      <w:r>
        <w:rPr>
          <w:b/>
          <w:szCs w:val="24"/>
        </w:rPr>
        <w:t xml:space="preserve"> </w:t>
      </w:r>
      <w:r w:rsidR="00144888" w:rsidRPr="009543E3">
        <w:rPr>
          <w:rFonts w:cs="Arial"/>
          <w:b/>
          <w:bCs/>
        </w:rPr>
        <w:t xml:space="preserve">Modularität und Flexibilität gewinnen in der Geräteentwicklung zunehmend an Bedeutung: </w:t>
      </w:r>
      <w:r w:rsidR="00DB0CB4" w:rsidRPr="009543E3">
        <w:rPr>
          <w:rFonts w:cs="Arial"/>
          <w:b/>
          <w:bCs/>
        </w:rPr>
        <w:t xml:space="preserve">Bedingt durch Digitalisierung und den Trend der industriellen Transformation werden </w:t>
      </w:r>
      <w:r w:rsidR="00144888" w:rsidRPr="009543E3">
        <w:rPr>
          <w:rFonts w:cs="Arial"/>
          <w:b/>
          <w:bCs/>
        </w:rPr>
        <w:t xml:space="preserve">Entwicklungszeiten für neue Geräte immer kürzer und das </w:t>
      </w:r>
      <w:proofErr w:type="spellStart"/>
      <w:r w:rsidR="00144888" w:rsidRPr="009543E3">
        <w:rPr>
          <w:rFonts w:cs="Arial"/>
          <w:b/>
          <w:bCs/>
        </w:rPr>
        <w:t>Prototyping</w:t>
      </w:r>
      <w:proofErr w:type="spellEnd"/>
      <w:r w:rsidR="00144888" w:rsidRPr="009543E3">
        <w:rPr>
          <w:rFonts w:cs="Arial"/>
          <w:b/>
          <w:bCs/>
        </w:rPr>
        <w:t xml:space="preserve"> spielt eine immer wichtigere Rolle.</w:t>
      </w:r>
      <w:r w:rsidR="00DB0CB4" w:rsidRPr="009543E3">
        <w:rPr>
          <w:rFonts w:cs="Arial"/>
          <w:b/>
          <w:bCs/>
        </w:rPr>
        <w:t xml:space="preserve"> </w:t>
      </w:r>
      <w:r w:rsidR="00305E07">
        <w:rPr>
          <w:rFonts w:cs="Arial"/>
          <w:b/>
          <w:bCs/>
        </w:rPr>
        <w:t>Ebenso ist e</w:t>
      </w:r>
      <w:r w:rsidR="00144888" w:rsidRPr="00144888">
        <w:rPr>
          <w:rFonts w:cs="Arial"/>
          <w:b/>
          <w:bCs/>
        </w:rPr>
        <w:t xml:space="preserve">ine begrenzte Auswahl an verfügbaren Standardkomponenten oft ein Hindernis in der Geräteentwicklung. HARTING bietet Leiterplattensteckverbinder, die dem Bedarf der Industrie nach Modularität, Flexibilität und mehr Geschwindigkeit in der Geräteentwicklung </w:t>
      </w:r>
      <w:r w:rsidR="00DB0CB4">
        <w:rPr>
          <w:rFonts w:cs="Arial"/>
          <w:b/>
          <w:bCs/>
        </w:rPr>
        <w:t>gerecht werden</w:t>
      </w:r>
      <w:r w:rsidR="00144888" w:rsidRPr="00144888">
        <w:rPr>
          <w:rFonts w:cs="Arial"/>
          <w:b/>
          <w:bCs/>
        </w:rPr>
        <w:t>.</w:t>
      </w:r>
    </w:p>
    <w:p w14:paraId="2C1096F2" w14:textId="77777777" w:rsidR="00695A45" w:rsidRDefault="00695A45" w:rsidP="00695A45">
      <w:pPr>
        <w:spacing w:line="360" w:lineRule="auto"/>
        <w:rPr>
          <w:rFonts w:cs="Arial"/>
        </w:rPr>
      </w:pPr>
      <w:r w:rsidRPr="00C43E15">
        <w:rPr>
          <w:rFonts w:cs="Arial"/>
        </w:rPr>
        <w:t xml:space="preserve">Die Lösung heißt </w:t>
      </w:r>
      <w:r w:rsidRPr="00D8085A">
        <w:rPr>
          <w:rFonts w:cs="Arial"/>
          <w:b/>
          <w:bCs/>
          <w:i/>
          <w:iCs/>
        </w:rPr>
        <w:t>har</w:t>
      </w:r>
      <w:r w:rsidRPr="00695A45">
        <w:rPr>
          <w:rFonts w:cs="Arial"/>
          <w:b/>
          <w:bCs/>
        </w:rPr>
        <w:t>-modular</w:t>
      </w:r>
      <w:r w:rsidRPr="00695A45">
        <w:rPr>
          <w:rFonts w:cs="Arial"/>
          <w:b/>
          <w:bCs/>
          <w:vertAlign w:val="superscript"/>
        </w:rPr>
        <w:t>®</w:t>
      </w:r>
      <w:r w:rsidRPr="00C43E15">
        <w:rPr>
          <w:rFonts w:cs="Arial"/>
        </w:rPr>
        <w:t xml:space="preserve"> </w:t>
      </w:r>
      <w:r>
        <w:rPr>
          <w:rFonts w:cs="Arial"/>
        </w:rPr>
        <w:t>– e</w:t>
      </w:r>
      <w:r w:rsidRPr="00C43E15">
        <w:rPr>
          <w:rFonts w:cs="Arial"/>
        </w:rPr>
        <w:t>ine modulare und online von jedem Entwickler individuell konfigurierbare PCB Schnittstelle. Eine enorme Arbeitserleichterung für Geräteentwickler – ganz egal</w:t>
      </w:r>
      <w:r>
        <w:rPr>
          <w:rFonts w:cs="Arial"/>
        </w:rPr>
        <w:t>,</w:t>
      </w:r>
      <w:r w:rsidRPr="00C43E15">
        <w:rPr>
          <w:rFonts w:cs="Arial"/>
        </w:rPr>
        <w:t xml:space="preserve"> ob es um schnelles </w:t>
      </w:r>
      <w:proofErr w:type="spellStart"/>
      <w:r w:rsidRPr="00C43E15">
        <w:rPr>
          <w:rFonts w:cs="Arial"/>
        </w:rPr>
        <w:t>Prototyping</w:t>
      </w:r>
      <w:proofErr w:type="spellEnd"/>
      <w:r w:rsidRPr="00C43E15">
        <w:rPr>
          <w:rFonts w:cs="Arial"/>
        </w:rPr>
        <w:t xml:space="preserve">, Kleinserien oder eine ganze Produktserie geht. Der modulare Baukasten mit einer Billion Kombinationsmöglichkeiten lässt keine Wünsche offen. </w:t>
      </w:r>
      <w:r>
        <w:rPr>
          <w:rFonts w:cs="Arial"/>
        </w:rPr>
        <w:t>M</w:t>
      </w:r>
      <w:r w:rsidRPr="00C43E15">
        <w:rPr>
          <w:rFonts w:cs="Arial"/>
        </w:rPr>
        <w:t>aßgeschneiderte Lösung</w:t>
      </w:r>
      <w:r>
        <w:rPr>
          <w:rFonts w:cs="Arial"/>
        </w:rPr>
        <w:t>en</w:t>
      </w:r>
      <w:r w:rsidRPr="00C43E15">
        <w:rPr>
          <w:rFonts w:cs="Arial"/>
        </w:rPr>
        <w:t xml:space="preserve"> ab Losgröße 1 spar</w:t>
      </w:r>
      <w:r>
        <w:rPr>
          <w:rFonts w:cs="Arial"/>
        </w:rPr>
        <w:t>en</w:t>
      </w:r>
      <w:r w:rsidRPr="00C43E15">
        <w:rPr>
          <w:rFonts w:cs="Arial"/>
        </w:rPr>
        <w:t xml:space="preserve"> Zeit, Kosten und Nerven in der Entwicklung und vereinfach</w:t>
      </w:r>
      <w:r>
        <w:rPr>
          <w:rFonts w:cs="Arial"/>
        </w:rPr>
        <w:t>en</w:t>
      </w:r>
      <w:r w:rsidRPr="00C43E15">
        <w:rPr>
          <w:rFonts w:cs="Arial"/>
        </w:rPr>
        <w:t xml:space="preserve"> den immer kürzeren Entstehungsprozess neuer Industriegeräte. Der Entwickler passt den Steckverbinder an seine Anforderungen an</w:t>
      </w:r>
      <w:r>
        <w:rPr>
          <w:rFonts w:cs="Arial"/>
        </w:rPr>
        <w:t>,</w:t>
      </w:r>
      <w:r w:rsidRPr="00C43E15">
        <w:rPr>
          <w:rFonts w:cs="Arial"/>
        </w:rPr>
        <w:t xml:space="preserve"> </w:t>
      </w:r>
      <w:r>
        <w:rPr>
          <w:rFonts w:cs="Arial"/>
        </w:rPr>
        <w:t>n</w:t>
      </w:r>
      <w:r w:rsidRPr="00C43E15">
        <w:rPr>
          <w:rFonts w:cs="Arial"/>
        </w:rPr>
        <w:t>icht andersherum.</w:t>
      </w:r>
    </w:p>
    <w:p w14:paraId="137B8940" w14:textId="77777777" w:rsidR="00695A45" w:rsidRDefault="00695A45" w:rsidP="00695A45">
      <w:pPr>
        <w:spacing w:line="360" w:lineRule="auto"/>
        <w:rPr>
          <w:rFonts w:cs="Arial"/>
        </w:rPr>
      </w:pPr>
      <w:r>
        <w:rPr>
          <w:rFonts w:cs="Arial"/>
        </w:rPr>
        <w:t xml:space="preserve">Einen ähnlichen, aber mit Rastermaß 1,27mm deutlich reduzierten Ansatz verfolgen die </w:t>
      </w:r>
      <w:r w:rsidRPr="00D8085A">
        <w:rPr>
          <w:rFonts w:cs="Arial"/>
          <w:b/>
          <w:bCs/>
          <w:i/>
          <w:iCs/>
        </w:rPr>
        <w:t>har</w:t>
      </w:r>
      <w:r w:rsidRPr="00695A45">
        <w:rPr>
          <w:rFonts w:cs="Arial"/>
          <w:b/>
          <w:bCs/>
        </w:rPr>
        <w:t>-flex</w:t>
      </w:r>
      <w:r w:rsidRPr="00695A45">
        <w:rPr>
          <w:rFonts w:cs="Arial"/>
          <w:b/>
          <w:bCs/>
          <w:vertAlign w:val="superscript"/>
        </w:rPr>
        <w:t>®</w:t>
      </w:r>
      <w:r>
        <w:rPr>
          <w:rFonts w:cs="Arial"/>
        </w:rPr>
        <w:t xml:space="preserve"> Steckverbinder mit 6-100 Kontakten für Signale, Power oder Daten. Verschiedenen Bauhöhen für Mezzanine-Anwendungen, der platzsparende Anschluss von Flachbandkabel und die hohe Fertigungsqualität für automatisierte Lötprozesse überzeugen in miniaturisierten PCB Anwendungen.</w:t>
      </w:r>
    </w:p>
    <w:p w14:paraId="054D0CBC" w14:textId="38FF56CD" w:rsidR="00695A45" w:rsidRDefault="00D8085A" w:rsidP="00695A45">
      <w:pPr>
        <w:spacing w:line="360" w:lineRule="auto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2D3A58DD" wp14:editId="0DD28DE6">
            <wp:extent cx="3800475" cy="309202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61" cy="309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E2969" w14:textId="016DF84E" w:rsidR="00695A45" w:rsidRDefault="00D8085A" w:rsidP="00695A45">
      <w:pPr>
        <w:rPr>
          <w:rFonts w:cs="Arial"/>
        </w:rPr>
      </w:pPr>
      <w:r w:rsidRPr="00D8085A">
        <w:rPr>
          <w:rFonts w:cs="Arial"/>
          <w:b/>
          <w:bCs/>
        </w:rPr>
        <w:t>Bildzeile:</w:t>
      </w:r>
      <w:r>
        <w:rPr>
          <w:rFonts w:cs="Arial"/>
        </w:rPr>
        <w:t xml:space="preserve"> </w:t>
      </w:r>
      <w:r w:rsidRPr="00D8085A">
        <w:rPr>
          <w:rFonts w:cs="Arial"/>
          <w:i/>
          <w:iCs/>
        </w:rPr>
        <w:t>har</w:t>
      </w:r>
      <w:r>
        <w:rPr>
          <w:rFonts w:cs="Arial"/>
        </w:rPr>
        <w:t xml:space="preserve">-modular® - </w:t>
      </w:r>
      <w:r>
        <w:t>ist ein Baukastenprinzip: Aus den verschiedenen Modulen ergeben sich eine Billionen Kombinationsmöglichkeiten.</w:t>
      </w:r>
    </w:p>
    <w:p w14:paraId="4F8B207C" w14:textId="276A1256" w:rsidR="00D8085A" w:rsidRDefault="00D8085A" w:rsidP="00695A45">
      <w:pPr>
        <w:rPr>
          <w:rFonts w:cs="Arial"/>
        </w:rPr>
      </w:pPr>
    </w:p>
    <w:p w14:paraId="2B4E2630" w14:textId="701BDB12" w:rsidR="00D8085A" w:rsidRDefault="00D8085A" w:rsidP="00695A45">
      <w:pPr>
        <w:rPr>
          <w:rFonts w:cs="Arial"/>
        </w:rPr>
      </w:pPr>
    </w:p>
    <w:p w14:paraId="77B0475C" w14:textId="7041B296" w:rsidR="00D8085A" w:rsidRDefault="00D8085A" w:rsidP="00695A45">
      <w:pPr>
        <w:rPr>
          <w:rFonts w:cs="Arial"/>
        </w:rPr>
      </w:pPr>
      <w:r>
        <w:rPr>
          <w:noProof/>
        </w:rPr>
        <w:drawing>
          <wp:inline distT="0" distB="0" distL="0" distR="0" wp14:anchorId="0E6B8FCA" wp14:editId="455CA27E">
            <wp:extent cx="2552700" cy="1805887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67" cy="180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9ECC1" w14:textId="490D2ABF" w:rsidR="00D8085A" w:rsidRDefault="00D8085A" w:rsidP="00D8085A">
      <w:pPr>
        <w:rPr>
          <w:rFonts w:cs="Arial"/>
        </w:rPr>
      </w:pPr>
      <w:r w:rsidRPr="00D8085A">
        <w:rPr>
          <w:rFonts w:cs="Arial"/>
          <w:b/>
          <w:bCs/>
        </w:rPr>
        <w:t xml:space="preserve">Bildzeile: </w:t>
      </w:r>
      <w:r w:rsidRPr="00D8085A">
        <w:rPr>
          <w:rFonts w:cs="Arial"/>
          <w:i/>
          <w:iCs/>
        </w:rPr>
        <w:t>har</w:t>
      </w:r>
      <w:r>
        <w:rPr>
          <w:rFonts w:cs="Arial"/>
        </w:rPr>
        <w:t>-flex</w:t>
      </w:r>
      <w:r w:rsidRPr="00D8085A">
        <w:rPr>
          <w:rFonts w:cs="Arial"/>
          <w:vertAlign w:val="superscript"/>
        </w:rPr>
        <w:t>®</w:t>
      </w:r>
      <w:r>
        <w:rPr>
          <w:rFonts w:cs="Arial"/>
        </w:rPr>
        <w:t xml:space="preserve"> – für den Einsatz in miniaturisierten PCB Anwendungen.</w:t>
      </w:r>
    </w:p>
    <w:p w14:paraId="5C2E942F" w14:textId="1C41A48B" w:rsidR="00144888" w:rsidRDefault="00144888" w:rsidP="00695A45">
      <w:pPr>
        <w:rPr>
          <w:rFonts w:cs="Arial"/>
        </w:rPr>
      </w:pPr>
    </w:p>
    <w:p w14:paraId="1D5216CE" w14:textId="77777777" w:rsidR="00D8085A" w:rsidRDefault="00D8085A" w:rsidP="00695A45">
      <w:pPr>
        <w:rPr>
          <w:rFonts w:cs="Arial"/>
        </w:rPr>
      </w:pPr>
    </w:p>
    <w:p w14:paraId="178A8E7D" w14:textId="39891AC5" w:rsidR="00144888" w:rsidRDefault="00144888" w:rsidP="00695A45">
      <w:pPr>
        <w:rPr>
          <w:rFonts w:cs="Arial"/>
        </w:rPr>
      </w:pPr>
    </w:p>
    <w:p w14:paraId="5BD4BB60" w14:textId="77777777" w:rsidR="00144888" w:rsidRDefault="00144888" w:rsidP="00695A45">
      <w:pPr>
        <w:rPr>
          <w:rFonts w:cs="Arial"/>
        </w:rPr>
      </w:pPr>
    </w:p>
    <w:p w14:paraId="521E8282" w14:textId="77777777" w:rsidR="00E61832" w:rsidRDefault="00E61832" w:rsidP="00EB6695">
      <w:pPr>
        <w:rPr>
          <w:b/>
        </w:rPr>
      </w:pPr>
    </w:p>
    <w:p w14:paraId="465A672C" w14:textId="5043BFB6" w:rsidR="00EB6695" w:rsidRDefault="00EB6695" w:rsidP="00EB6695">
      <w:r>
        <w:rPr>
          <w:b/>
        </w:rPr>
        <w:lastRenderedPageBreak/>
        <w:t>Über HARTING:</w:t>
      </w:r>
    </w:p>
    <w:p w14:paraId="1534E1EC" w14:textId="77777777" w:rsidR="00EB6695" w:rsidRDefault="00EB6695" w:rsidP="00EB6695">
      <w:pPr>
        <w:spacing w:after="0" w:line="360" w:lineRule="auto"/>
      </w:pPr>
      <w:r>
        <w:t xml:space="preserve">Die HARTING Technologiegruppe ist ein weltweit führender Anbieter von industrieller Verbindungstechnik für die drei Lebensadern „Data“, „Signal“ und „Power“ mit </w:t>
      </w:r>
      <w:r>
        <w:br/>
        <w:t xml:space="preserve">14 Produktionsstätten und Niederlassungen in 44 Ländern. Darüber hinaus stellt das Unternehmen auch Kassenzonen für den Einzelhandel, elektromagnetische Aktuatoren für den </w:t>
      </w:r>
      <w:proofErr w:type="spellStart"/>
      <w:r>
        <w:t>automotiven</w:t>
      </w:r>
      <w:proofErr w:type="spellEnd"/>
      <w:r>
        <w:t xml:space="preserve"> und industriellen Serieneinsatz, Ladeequipment für Elektrofahrzeuge sowie Hard- und Software für Kunden und Anwendungen u. a. in der Automatisierungs-technik, im Maschinen- und Anlagenbau, in der Robotik und im Bereich Transportation her. Rund 5.500 Mitarbeitende erwirtschafteten 2019/20 einen Umsatz von 759 Mio. Euro.</w:t>
      </w:r>
    </w:p>
    <w:p w14:paraId="28CBD388" w14:textId="77777777" w:rsidR="00EB6695" w:rsidRDefault="00EB6695" w:rsidP="00EB6695">
      <w:pPr>
        <w:spacing w:after="0" w:line="360" w:lineRule="auto"/>
      </w:pPr>
    </w:p>
    <w:p w14:paraId="2E7ED61C" w14:textId="77777777" w:rsidR="00EB6695" w:rsidRDefault="00EB6695" w:rsidP="00EB6695">
      <w:pPr>
        <w:spacing w:line="240" w:lineRule="auto"/>
        <w:rPr>
          <w:rFonts w:cs="Arial"/>
          <w:u w:val="single"/>
        </w:rPr>
      </w:pPr>
      <w:r>
        <w:rPr>
          <w:rFonts w:cs="Arial"/>
          <w:b/>
          <w:u w:val="single"/>
        </w:rPr>
        <w:t>Kontakt:</w:t>
      </w:r>
    </w:p>
    <w:p w14:paraId="52E8B182" w14:textId="77777777" w:rsidR="00EB6695" w:rsidRDefault="00EB6695" w:rsidP="00EB6695">
      <w:pPr>
        <w:spacing w:line="240" w:lineRule="auto"/>
        <w:rPr>
          <w:rFonts w:cs="Arial"/>
        </w:rPr>
      </w:pPr>
      <w:r>
        <w:rPr>
          <w:rFonts w:cs="Arial"/>
        </w:rPr>
        <w:t>HARTING Stiftung &amp; Co. KG</w:t>
      </w:r>
      <w:r>
        <w:rPr>
          <w:rFonts w:cs="Arial"/>
        </w:rPr>
        <w:br/>
        <w:t>Detlef Sieverdingbeck</w:t>
      </w:r>
      <w:r>
        <w:rPr>
          <w:rFonts w:cs="Arial"/>
        </w:rPr>
        <w:br/>
        <w:t>Zentralbereichsleiter</w:t>
      </w:r>
      <w:r>
        <w:rPr>
          <w:rFonts w:cs="Arial"/>
        </w:rPr>
        <w:br/>
      </w:r>
      <w:r>
        <w:rPr>
          <w:rFonts w:eastAsiaTheme="minorEastAsia" w:cs="Arial"/>
          <w:noProof/>
        </w:rPr>
        <w:t>Corporate Communication &amp; Branding (CCB)</w:t>
      </w:r>
      <w:r>
        <w:rPr>
          <w:rFonts w:eastAsiaTheme="minorEastAsia" w:cs="Arial"/>
          <w:noProof/>
        </w:rPr>
        <w:br/>
      </w:r>
      <w:proofErr w:type="spellStart"/>
      <w:r>
        <w:rPr>
          <w:rFonts w:cs="Arial"/>
        </w:rPr>
        <w:t>Marienwerderstr</w:t>
      </w:r>
      <w:proofErr w:type="spellEnd"/>
      <w:r>
        <w:rPr>
          <w:rFonts w:cs="Arial"/>
        </w:rPr>
        <w:t>. 3</w:t>
      </w:r>
    </w:p>
    <w:p w14:paraId="43EEB10D" w14:textId="77777777" w:rsidR="00EB6695" w:rsidRDefault="00EB6695" w:rsidP="00EB6695">
      <w:pPr>
        <w:spacing w:line="240" w:lineRule="auto"/>
        <w:rPr>
          <w:rFonts w:cs="Arial"/>
        </w:rPr>
      </w:pPr>
      <w:r>
        <w:rPr>
          <w:rFonts w:cs="Arial"/>
        </w:rPr>
        <w:t>32339 Espelkamp</w:t>
      </w:r>
    </w:p>
    <w:p w14:paraId="75096971" w14:textId="080C30A0" w:rsidR="00C774CA" w:rsidRDefault="00EB6695" w:rsidP="0002519F">
      <w:pPr>
        <w:spacing w:line="240" w:lineRule="auto"/>
        <w:rPr>
          <w:rStyle w:val="Hyperlink"/>
        </w:rPr>
      </w:pPr>
      <w:r>
        <w:rPr>
          <w:rFonts w:cs="Arial"/>
        </w:rPr>
        <w:t>Tel.: 05772 47-244</w:t>
      </w:r>
      <w:r>
        <w:rPr>
          <w:rFonts w:cs="Arial"/>
        </w:rPr>
        <w:br/>
        <w:t>Fax: 05772 47-400</w:t>
      </w:r>
      <w:r>
        <w:rPr>
          <w:rFonts w:cs="Arial"/>
        </w:rPr>
        <w:br/>
      </w:r>
      <w:hyperlink r:id="rId10" w:history="1">
        <w:r>
          <w:rPr>
            <w:rStyle w:val="Hyperlink"/>
            <w:rFonts w:cs="Arial"/>
          </w:rPr>
          <w:t>Detlef.Sieverdingbeck@HARTING.com</w:t>
        </w:r>
      </w:hyperlink>
      <w:r>
        <w:br/>
      </w:r>
      <w:r>
        <w:rPr>
          <w:rFonts w:cs="Arial"/>
        </w:rPr>
        <w:t xml:space="preserve">Weitere Informationen: </w:t>
      </w:r>
      <w:hyperlink r:id="rId11" w:history="1">
        <w:r>
          <w:rPr>
            <w:rStyle w:val="Hyperlink"/>
            <w:rFonts w:cs="Arial"/>
          </w:rPr>
          <w:t>www.</w:t>
        </w:r>
        <w:r>
          <w:rPr>
            <w:rStyle w:val="Hyperlink"/>
          </w:rPr>
          <w:t>HARTING.com</w:t>
        </w:r>
      </w:hyperlink>
    </w:p>
    <w:sectPr w:rsidR="00C774CA" w:rsidSect="002C38B2">
      <w:headerReference w:type="default" r:id="rId12"/>
      <w:pgSz w:w="11906" w:h="16838" w:code="9"/>
      <w:pgMar w:top="2658" w:right="964" w:bottom="1134" w:left="136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CE276" w14:textId="77777777" w:rsidR="00D93B2E" w:rsidRDefault="00D93B2E" w:rsidP="001A06E0">
      <w:pPr>
        <w:spacing w:after="0" w:line="240" w:lineRule="auto"/>
      </w:pPr>
      <w:r>
        <w:separator/>
      </w:r>
    </w:p>
  </w:endnote>
  <w:endnote w:type="continuationSeparator" w:id="0">
    <w:p w14:paraId="29E446FA" w14:textId="77777777" w:rsidR="00D93B2E" w:rsidRDefault="00D93B2E" w:rsidP="001A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B038A" w14:textId="77777777" w:rsidR="00D93B2E" w:rsidRDefault="00D93B2E" w:rsidP="001A06E0">
      <w:pPr>
        <w:spacing w:after="0" w:line="240" w:lineRule="auto"/>
      </w:pPr>
      <w:r>
        <w:separator/>
      </w:r>
    </w:p>
  </w:footnote>
  <w:footnote w:type="continuationSeparator" w:id="0">
    <w:p w14:paraId="6666C431" w14:textId="77777777" w:rsidR="00D93B2E" w:rsidRDefault="00D93B2E" w:rsidP="001A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E4DB7" w14:textId="77777777" w:rsidR="002D4B0F" w:rsidRDefault="002D4B0F" w:rsidP="00A9382E">
    <w:pPr>
      <w:pStyle w:val="Titel"/>
    </w:pPr>
    <w:r w:rsidRPr="00A9382E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49C84F6" wp14:editId="23A59002">
          <wp:simplePos x="0" y="0"/>
          <wp:positionH relativeFrom="column">
            <wp:posOffset>-853440</wp:posOffset>
          </wp:positionH>
          <wp:positionV relativeFrom="paragraph">
            <wp:posOffset>-440690</wp:posOffset>
          </wp:positionV>
          <wp:extent cx="7560000" cy="1080000"/>
          <wp:effectExtent l="0" t="0" r="3175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03_Kopf Pressebo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82E">
      <w:t>Presseinformation</w:t>
    </w:r>
  </w:p>
  <w:p w14:paraId="05782672" w14:textId="2145FDCE" w:rsidR="002D4B0F" w:rsidRPr="008724CD" w:rsidRDefault="00EB6695" w:rsidP="00E916B2">
    <w:pPr>
      <w:spacing w:before="960" w:after="0"/>
      <w:jc w:val="right"/>
      <w:rPr>
        <w:sz w:val="20"/>
        <w:szCs w:val="20"/>
      </w:rPr>
    </w:pPr>
    <w:r>
      <w:rPr>
        <w:sz w:val="20"/>
        <w:szCs w:val="20"/>
      </w:rPr>
      <w:t>November</w:t>
    </w:r>
    <w:r w:rsidR="00AC3485">
      <w:rPr>
        <w:sz w:val="20"/>
        <w:szCs w:val="20"/>
      </w:rPr>
      <w:t xml:space="preserve"> </w:t>
    </w:r>
    <w:r w:rsidR="002D4B0F" w:rsidRPr="008724CD">
      <w:rPr>
        <w:sz w:val="20"/>
        <w:szCs w:val="20"/>
      </w:rPr>
      <w:t>20</w:t>
    </w:r>
    <w:r w:rsidR="009D6980">
      <w:rPr>
        <w:sz w:val="20"/>
        <w:szCs w:val="20"/>
      </w:rPr>
      <w:t>21</w:t>
    </w:r>
    <w:r w:rsidR="002D4B0F" w:rsidRPr="008724CD">
      <w:rPr>
        <w:sz w:val="20"/>
        <w:szCs w:val="20"/>
      </w:rPr>
      <w:t xml:space="preserve">, Seite </w:t>
    </w:r>
    <w:r w:rsidR="002D4B0F" w:rsidRPr="008724CD">
      <w:rPr>
        <w:rStyle w:val="Seitenzahl"/>
        <w:rFonts w:cs="Arial"/>
        <w:sz w:val="20"/>
        <w:szCs w:val="20"/>
      </w:rPr>
      <w:fldChar w:fldCharType="begin"/>
    </w:r>
    <w:r w:rsidR="002D4B0F" w:rsidRPr="008724CD">
      <w:rPr>
        <w:rStyle w:val="Seitenzahl"/>
        <w:rFonts w:cs="Arial"/>
        <w:sz w:val="20"/>
        <w:szCs w:val="20"/>
      </w:rPr>
      <w:instrText xml:space="preserve"> PAGE </w:instrText>
    </w:r>
    <w:r w:rsidR="002D4B0F" w:rsidRPr="008724CD">
      <w:rPr>
        <w:rStyle w:val="Seitenzahl"/>
        <w:rFonts w:cs="Arial"/>
        <w:sz w:val="20"/>
        <w:szCs w:val="20"/>
      </w:rPr>
      <w:fldChar w:fldCharType="separate"/>
    </w:r>
    <w:r w:rsidR="009F727A">
      <w:rPr>
        <w:rStyle w:val="Seitenzahl"/>
        <w:rFonts w:cs="Arial"/>
        <w:noProof/>
        <w:sz w:val="20"/>
        <w:szCs w:val="20"/>
      </w:rPr>
      <w:t>2</w:t>
    </w:r>
    <w:r w:rsidR="002D4B0F" w:rsidRPr="008724CD">
      <w:rPr>
        <w:rStyle w:val="Seitenzahl"/>
        <w:rFonts w:cs="Arial"/>
        <w:sz w:val="20"/>
        <w:szCs w:val="20"/>
      </w:rPr>
      <w:fldChar w:fldCharType="end"/>
    </w:r>
    <w:r w:rsidR="002D4B0F">
      <w:rPr>
        <w:rStyle w:val="Seitenzahl"/>
        <w:rFonts w:cs="Arial"/>
        <w:szCs w:val="20"/>
      </w:rPr>
      <w:t xml:space="preserve"> /</w:t>
    </w:r>
    <w:r w:rsidR="002D4B0F" w:rsidRPr="008724CD">
      <w:rPr>
        <w:rStyle w:val="Seitenzahl"/>
        <w:rFonts w:cs="Arial"/>
        <w:sz w:val="20"/>
        <w:szCs w:val="20"/>
      </w:rPr>
      <w:t xml:space="preserve"> </w:t>
    </w:r>
    <w:r w:rsidR="002D4B0F" w:rsidRPr="008724CD">
      <w:rPr>
        <w:rStyle w:val="Seitenzahl"/>
        <w:rFonts w:cs="Arial"/>
        <w:sz w:val="20"/>
        <w:szCs w:val="20"/>
      </w:rPr>
      <w:fldChar w:fldCharType="begin"/>
    </w:r>
    <w:r w:rsidR="002D4B0F" w:rsidRPr="008724CD">
      <w:rPr>
        <w:rStyle w:val="Seitenzahl"/>
        <w:rFonts w:cs="Arial"/>
        <w:sz w:val="20"/>
        <w:szCs w:val="20"/>
      </w:rPr>
      <w:instrText xml:space="preserve"> NUMPAGES </w:instrText>
    </w:r>
    <w:r w:rsidR="002D4B0F" w:rsidRPr="008724CD">
      <w:rPr>
        <w:rStyle w:val="Seitenzahl"/>
        <w:rFonts w:cs="Arial"/>
        <w:sz w:val="20"/>
        <w:szCs w:val="20"/>
      </w:rPr>
      <w:fldChar w:fldCharType="separate"/>
    </w:r>
    <w:r w:rsidR="009F727A">
      <w:rPr>
        <w:rStyle w:val="Seitenzahl"/>
        <w:rFonts w:cs="Arial"/>
        <w:noProof/>
        <w:sz w:val="20"/>
        <w:szCs w:val="20"/>
      </w:rPr>
      <w:t>2</w:t>
    </w:r>
    <w:r w:rsidR="002D4B0F" w:rsidRPr="008724CD">
      <w:rPr>
        <w:rStyle w:val="Seitenzahl"/>
        <w:rFonts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6428"/>
    <w:multiLevelType w:val="hybridMultilevel"/>
    <w:tmpl w:val="59DCEA7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EE5C30"/>
    <w:multiLevelType w:val="hybridMultilevel"/>
    <w:tmpl w:val="D86EA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80460"/>
    <w:multiLevelType w:val="hybridMultilevel"/>
    <w:tmpl w:val="22545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575E2"/>
    <w:multiLevelType w:val="hybridMultilevel"/>
    <w:tmpl w:val="7BC828F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CD"/>
    <w:rsid w:val="000009CD"/>
    <w:rsid w:val="00005DCD"/>
    <w:rsid w:val="00011E09"/>
    <w:rsid w:val="0002075C"/>
    <w:rsid w:val="0002519F"/>
    <w:rsid w:val="00032286"/>
    <w:rsid w:val="000413B8"/>
    <w:rsid w:val="00041E42"/>
    <w:rsid w:val="00043736"/>
    <w:rsid w:val="0004673F"/>
    <w:rsid w:val="00051796"/>
    <w:rsid w:val="00057C84"/>
    <w:rsid w:val="000638D6"/>
    <w:rsid w:val="00066487"/>
    <w:rsid w:val="00066CE9"/>
    <w:rsid w:val="00074EF3"/>
    <w:rsid w:val="00080992"/>
    <w:rsid w:val="00087C42"/>
    <w:rsid w:val="00092A8B"/>
    <w:rsid w:val="000941AB"/>
    <w:rsid w:val="00095E68"/>
    <w:rsid w:val="000A5AAB"/>
    <w:rsid w:val="000B2F09"/>
    <w:rsid w:val="000B503C"/>
    <w:rsid w:val="000C0421"/>
    <w:rsid w:val="000C0B44"/>
    <w:rsid w:val="000C493C"/>
    <w:rsid w:val="000D0E71"/>
    <w:rsid w:val="000D3604"/>
    <w:rsid w:val="000E0627"/>
    <w:rsid w:val="000E33BF"/>
    <w:rsid w:val="000F47DF"/>
    <w:rsid w:val="0010083A"/>
    <w:rsid w:val="001029FF"/>
    <w:rsid w:val="00103964"/>
    <w:rsid w:val="0010677D"/>
    <w:rsid w:val="00112F82"/>
    <w:rsid w:val="001133CA"/>
    <w:rsid w:val="0011357B"/>
    <w:rsid w:val="00120248"/>
    <w:rsid w:val="00144888"/>
    <w:rsid w:val="001515D9"/>
    <w:rsid w:val="00157BEF"/>
    <w:rsid w:val="00161256"/>
    <w:rsid w:val="001626B5"/>
    <w:rsid w:val="00165EB6"/>
    <w:rsid w:val="00171C59"/>
    <w:rsid w:val="001848F2"/>
    <w:rsid w:val="001A06E0"/>
    <w:rsid w:val="001A1AC4"/>
    <w:rsid w:val="001A5D69"/>
    <w:rsid w:val="001A675A"/>
    <w:rsid w:val="001B1FE1"/>
    <w:rsid w:val="001C002A"/>
    <w:rsid w:val="001C392A"/>
    <w:rsid w:val="001D3386"/>
    <w:rsid w:val="001E30C2"/>
    <w:rsid w:val="001F7888"/>
    <w:rsid w:val="001F7C54"/>
    <w:rsid w:val="00207B86"/>
    <w:rsid w:val="002111DB"/>
    <w:rsid w:val="0021432E"/>
    <w:rsid w:val="0022477A"/>
    <w:rsid w:val="002278FB"/>
    <w:rsid w:val="00233422"/>
    <w:rsid w:val="00247A17"/>
    <w:rsid w:val="00251543"/>
    <w:rsid w:val="00265BFC"/>
    <w:rsid w:val="00265C1B"/>
    <w:rsid w:val="00266F6D"/>
    <w:rsid w:val="00285D1B"/>
    <w:rsid w:val="002915D3"/>
    <w:rsid w:val="00291911"/>
    <w:rsid w:val="002A3208"/>
    <w:rsid w:val="002B316A"/>
    <w:rsid w:val="002C38B2"/>
    <w:rsid w:val="002C578E"/>
    <w:rsid w:val="002C645D"/>
    <w:rsid w:val="002C657D"/>
    <w:rsid w:val="002C6A12"/>
    <w:rsid w:val="002D0838"/>
    <w:rsid w:val="002D4B0F"/>
    <w:rsid w:val="002D714D"/>
    <w:rsid w:val="002F5307"/>
    <w:rsid w:val="00300B8D"/>
    <w:rsid w:val="00305E07"/>
    <w:rsid w:val="0031148D"/>
    <w:rsid w:val="00313819"/>
    <w:rsid w:val="00314E5F"/>
    <w:rsid w:val="00320915"/>
    <w:rsid w:val="003278B6"/>
    <w:rsid w:val="00334162"/>
    <w:rsid w:val="003422C3"/>
    <w:rsid w:val="00345E9D"/>
    <w:rsid w:val="0035647F"/>
    <w:rsid w:val="00363572"/>
    <w:rsid w:val="00363621"/>
    <w:rsid w:val="0036435F"/>
    <w:rsid w:val="003656CB"/>
    <w:rsid w:val="003763FD"/>
    <w:rsid w:val="00384A80"/>
    <w:rsid w:val="00394315"/>
    <w:rsid w:val="0039679B"/>
    <w:rsid w:val="003A04E2"/>
    <w:rsid w:val="003A05CA"/>
    <w:rsid w:val="003A12F0"/>
    <w:rsid w:val="003A7145"/>
    <w:rsid w:val="003C5F38"/>
    <w:rsid w:val="003D0A01"/>
    <w:rsid w:val="003E3053"/>
    <w:rsid w:val="003E3AB4"/>
    <w:rsid w:val="003F4FD3"/>
    <w:rsid w:val="003F500A"/>
    <w:rsid w:val="00401EA3"/>
    <w:rsid w:val="00403516"/>
    <w:rsid w:val="00414064"/>
    <w:rsid w:val="00432158"/>
    <w:rsid w:val="0043366B"/>
    <w:rsid w:val="0044125F"/>
    <w:rsid w:val="00441BB6"/>
    <w:rsid w:val="004422F4"/>
    <w:rsid w:val="004524BB"/>
    <w:rsid w:val="0045659D"/>
    <w:rsid w:val="00456E1A"/>
    <w:rsid w:val="00461933"/>
    <w:rsid w:val="00463FD7"/>
    <w:rsid w:val="004641BD"/>
    <w:rsid w:val="00470CE5"/>
    <w:rsid w:val="00475235"/>
    <w:rsid w:val="004848E3"/>
    <w:rsid w:val="004953AC"/>
    <w:rsid w:val="004A58A3"/>
    <w:rsid w:val="004C4600"/>
    <w:rsid w:val="004F26B0"/>
    <w:rsid w:val="00514B8B"/>
    <w:rsid w:val="00523FC3"/>
    <w:rsid w:val="00527457"/>
    <w:rsid w:val="0053567D"/>
    <w:rsid w:val="0054456C"/>
    <w:rsid w:val="005459AC"/>
    <w:rsid w:val="0055232C"/>
    <w:rsid w:val="005652E3"/>
    <w:rsid w:val="00571925"/>
    <w:rsid w:val="00576A13"/>
    <w:rsid w:val="005805F6"/>
    <w:rsid w:val="00586079"/>
    <w:rsid w:val="00592331"/>
    <w:rsid w:val="00595EB4"/>
    <w:rsid w:val="005A73D9"/>
    <w:rsid w:val="005A78DA"/>
    <w:rsid w:val="005B4513"/>
    <w:rsid w:val="005C010F"/>
    <w:rsid w:val="005C0ADD"/>
    <w:rsid w:val="005C289C"/>
    <w:rsid w:val="005C6C0A"/>
    <w:rsid w:val="005C6EE2"/>
    <w:rsid w:val="005D4D23"/>
    <w:rsid w:val="005D65C3"/>
    <w:rsid w:val="005D666E"/>
    <w:rsid w:val="005E1DF2"/>
    <w:rsid w:val="005E490F"/>
    <w:rsid w:val="005F16B8"/>
    <w:rsid w:val="0060311C"/>
    <w:rsid w:val="00603C38"/>
    <w:rsid w:val="00621FE0"/>
    <w:rsid w:val="00634655"/>
    <w:rsid w:val="006347E7"/>
    <w:rsid w:val="00636ADF"/>
    <w:rsid w:val="00637BC9"/>
    <w:rsid w:val="00641966"/>
    <w:rsid w:val="006424D4"/>
    <w:rsid w:val="00651080"/>
    <w:rsid w:val="006517EB"/>
    <w:rsid w:val="006555D2"/>
    <w:rsid w:val="00663149"/>
    <w:rsid w:val="0067629E"/>
    <w:rsid w:val="0068294C"/>
    <w:rsid w:val="006835E7"/>
    <w:rsid w:val="00695A45"/>
    <w:rsid w:val="006977ED"/>
    <w:rsid w:val="006A26D9"/>
    <w:rsid w:val="006A3981"/>
    <w:rsid w:val="006B1E62"/>
    <w:rsid w:val="006B33E7"/>
    <w:rsid w:val="006B59E5"/>
    <w:rsid w:val="006C2144"/>
    <w:rsid w:val="006D0858"/>
    <w:rsid w:val="006D3C51"/>
    <w:rsid w:val="006D7570"/>
    <w:rsid w:val="006D7BE8"/>
    <w:rsid w:val="006E2CD1"/>
    <w:rsid w:val="00703E18"/>
    <w:rsid w:val="00711B80"/>
    <w:rsid w:val="007123BB"/>
    <w:rsid w:val="00714351"/>
    <w:rsid w:val="007148FE"/>
    <w:rsid w:val="00716FE5"/>
    <w:rsid w:val="00721542"/>
    <w:rsid w:val="007264AD"/>
    <w:rsid w:val="00730C33"/>
    <w:rsid w:val="007636D6"/>
    <w:rsid w:val="00770CC5"/>
    <w:rsid w:val="00773738"/>
    <w:rsid w:val="00790BEC"/>
    <w:rsid w:val="0079168B"/>
    <w:rsid w:val="007A037D"/>
    <w:rsid w:val="007A2004"/>
    <w:rsid w:val="007A331A"/>
    <w:rsid w:val="007A3D54"/>
    <w:rsid w:val="007C337B"/>
    <w:rsid w:val="007D5E9F"/>
    <w:rsid w:val="007E7A90"/>
    <w:rsid w:val="007E7E77"/>
    <w:rsid w:val="007F4ABA"/>
    <w:rsid w:val="007F4B05"/>
    <w:rsid w:val="007F5B5C"/>
    <w:rsid w:val="007F6D7F"/>
    <w:rsid w:val="008007DE"/>
    <w:rsid w:val="008062D5"/>
    <w:rsid w:val="00807570"/>
    <w:rsid w:val="008424F9"/>
    <w:rsid w:val="008512E3"/>
    <w:rsid w:val="00855FE3"/>
    <w:rsid w:val="00857F05"/>
    <w:rsid w:val="00865ED3"/>
    <w:rsid w:val="008724CD"/>
    <w:rsid w:val="00874D92"/>
    <w:rsid w:val="00883EEF"/>
    <w:rsid w:val="0089331D"/>
    <w:rsid w:val="008A0F61"/>
    <w:rsid w:val="008A28BB"/>
    <w:rsid w:val="008A5296"/>
    <w:rsid w:val="008B6C8C"/>
    <w:rsid w:val="008B7387"/>
    <w:rsid w:val="008D6F37"/>
    <w:rsid w:val="008E6F64"/>
    <w:rsid w:val="008F72F6"/>
    <w:rsid w:val="00900160"/>
    <w:rsid w:val="009012CA"/>
    <w:rsid w:val="00902DD5"/>
    <w:rsid w:val="00906216"/>
    <w:rsid w:val="00913D35"/>
    <w:rsid w:val="009204AD"/>
    <w:rsid w:val="00933635"/>
    <w:rsid w:val="009543E3"/>
    <w:rsid w:val="00956FC1"/>
    <w:rsid w:val="00960B4D"/>
    <w:rsid w:val="009674FE"/>
    <w:rsid w:val="0097356D"/>
    <w:rsid w:val="00974D73"/>
    <w:rsid w:val="00975654"/>
    <w:rsid w:val="00975F80"/>
    <w:rsid w:val="00977990"/>
    <w:rsid w:val="009802C6"/>
    <w:rsid w:val="00982B1D"/>
    <w:rsid w:val="009857DE"/>
    <w:rsid w:val="009A0086"/>
    <w:rsid w:val="009A6EBE"/>
    <w:rsid w:val="009B1036"/>
    <w:rsid w:val="009B161D"/>
    <w:rsid w:val="009B3DB2"/>
    <w:rsid w:val="009B5901"/>
    <w:rsid w:val="009B5A34"/>
    <w:rsid w:val="009B7359"/>
    <w:rsid w:val="009C242A"/>
    <w:rsid w:val="009C4389"/>
    <w:rsid w:val="009C44DB"/>
    <w:rsid w:val="009D027A"/>
    <w:rsid w:val="009D3F1C"/>
    <w:rsid w:val="009D6980"/>
    <w:rsid w:val="009E1EE9"/>
    <w:rsid w:val="009F0706"/>
    <w:rsid w:val="009F1362"/>
    <w:rsid w:val="009F3172"/>
    <w:rsid w:val="009F4253"/>
    <w:rsid w:val="009F4BD8"/>
    <w:rsid w:val="009F69B3"/>
    <w:rsid w:val="009F727A"/>
    <w:rsid w:val="00A0177E"/>
    <w:rsid w:val="00A032D0"/>
    <w:rsid w:val="00A03906"/>
    <w:rsid w:val="00A04FE0"/>
    <w:rsid w:val="00A059B0"/>
    <w:rsid w:val="00A05B6C"/>
    <w:rsid w:val="00A10EA9"/>
    <w:rsid w:val="00A158C4"/>
    <w:rsid w:val="00A202A2"/>
    <w:rsid w:val="00A24A3B"/>
    <w:rsid w:val="00A255B6"/>
    <w:rsid w:val="00A26C9C"/>
    <w:rsid w:val="00A324E3"/>
    <w:rsid w:val="00A4412C"/>
    <w:rsid w:val="00A604E4"/>
    <w:rsid w:val="00A61C7F"/>
    <w:rsid w:val="00A70F8E"/>
    <w:rsid w:val="00A8664A"/>
    <w:rsid w:val="00A93156"/>
    <w:rsid w:val="00A9382E"/>
    <w:rsid w:val="00A9470B"/>
    <w:rsid w:val="00A96339"/>
    <w:rsid w:val="00A97390"/>
    <w:rsid w:val="00AB3142"/>
    <w:rsid w:val="00AB34EE"/>
    <w:rsid w:val="00AB4C0A"/>
    <w:rsid w:val="00AB792F"/>
    <w:rsid w:val="00AC07F1"/>
    <w:rsid w:val="00AC3485"/>
    <w:rsid w:val="00AC5DDF"/>
    <w:rsid w:val="00AC7B35"/>
    <w:rsid w:val="00AD58A2"/>
    <w:rsid w:val="00AE79CC"/>
    <w:rsid w:val="00AF0BD3"/>
    <w:rsid w:val="00B01D32"/>
    <w:rsid w:val="00B12B50"/>
    <w:rsid w:val="00B17FFC"/>
    <w:rsid w:val="00B24A36"/>
    <w:rsid w:val="00B31185"/>
    <w:rsid w:val="00B32A25"/>
    <w:rsid w:val="00B33FDF"/>
    <w:rsid w:val="00B37109"/>
    <w:rsid w:val="00B4193F"/>
    <w:rsid w:val="00B44F77"/>
    <w:rsid w:val="00B46D7D"/>
    <w:rsid w:val="00B51A3C"/>
    <w:rsid w:val="00B557E9"/>
    <w:rsid w:val="00B55DB0"/>
    <w:rsid w:val="00B6197C"/>
    <w:rsid w:val="00B65F15"/>
    <w:rsid w:val="00B6670C"/>
    <w:rsid w:val="00B67E7A"/>
    <w:rsid w:val="00B700B7"/>
    <w:rsid w:val="00B7500A"/>
    <w:rsid w:val="00B87930"/>
    <w:rsid w:val="00B9159F"/>
    <w:rsid w:val="00B94CD7"/>
    <w:rsid w:val="00BA38F3"/>
    <w:rsid w:val="00BC07F4"/>
    <w:rsid w:val="00BC26C8"/>
    <w:rsid w:val="00BC2F2C"/>
    <w:rsid w:val="00BC4120"/>
    <w:rsid w:val="00BC7D6F"/>
    <w:rsid w:val="00BD12FC"/>
    <w:rsid w:val="00BD389B"/>
    <w:rsid w:val="00BD47E0"/>
    <w:rsid w:val="00BD7E7B"/>
    <w:rsid w:val="00BE43B8"/>
    <w:rsid w:val="00BF0A4F"/>
    <w:rsid w:val="00BF3DDA"/>
    <w:rsid w:val="00BF7E4D"/>
    <w:rsid w:val="00C03E2B"/>
    <w:rsid w:val="00C069D1"/>
    <w:rsid w:val="00C12596"/>
    <w:rsid w:val="00C169C9"/>
    <w:rsid w:val="00C16D86"/>
    <w:rsid w:val="00C30B1C"/>
    <w:rsid w:val="00C32525"/>
    <w:rsid w:val="00C33D2B"/>
    <w:rsid w:val="00C34C0E"/>
    <w:rsid w:val="00C473E1"/>
    <w:rsid w:val="00C4772C"/>
    <w:rsid w:val="00C51EF8"/>
    <w:rsid w:val="00C64DFE"/>
    <w:rsid w:val="00C666E5"/>
    <w:rsid w:val="00C7740A"/>
    <w:rsid w:val="00C774CA"/>
    <w:rsid w:val="00C80F73"/>
    <w:rsid w:val="00C81F36"/>
    <w:rsid w:val="00C920DC"/>
    <w:rsid w:val="00C941D3"/>
    <w:rsid w:val="00C9564A"/>
    <w:rsid w:val="00CA2E9B"/>
    <w:rsid w:val="00CA4097"/>
    <w:rsid w:val="00CA4578"/>
    <w:rsid w:val="00CB0AC9"/>
    <w:rsid w:val="00CB2FF5"/>
    <w:rsid w:val="00CD31E2"/>
    <w:rsid w:val="00CD3207"/>
    <w:rsid w:val="00CD44B2"/>
    <w:rsid w:val="00CD7111"/>
    <w:rsid w:val="00CE537B"/>
    <w:rsid w:val="00D05163"/>
    <w:rsid w:val="00D06560"/>
    <w:rsid w:val="00D1151E"/>
    <w:rsid w:val="00D3151F"/>
    <w:rsid w:val="00D463F6"/>
    <w:rsid w:val="00D510F9"/>
    <w:rsid w:val="00D61F17"/>
    <w:rsid w:val="00D6230D"/>
    <w:rsid w:val="00D623B2"/>
    <w:rsid w:val="00D63809"/>
    <w:rsid w:val="00D743A8"/>
    <w:rsid w:val="00D8085A"/>
    <w:rsid w:val="00D80942"/>
    <w:rsid w:val="00D857A7"/>
    <w:rsid w:val="00D9160D"/>
    <w:rsid w:val="00D93B2E"/>
    <w:rsid w:val="00DA0B84"/>
    <w:rsid w:val="00DA5453"/>
    <w:rsid w:val="00DB0CB4"/>
    <w:rsid w:val="00DB71A4"/>
    <w:rsid w:val="00DB76FB"/>
    <w:rsid w:val="00DC56C4"/>
    <w:rsid w:val="00DD14C6"/>
    <w:rsid w:val="00DD7959"/>
    <w:rsid w:val="00DE053E"/>
    <w:rsid w:val="00DE2E12"/>
    <w:rsid w:val="00DE3851"/>
    <w:rsid w:val="00DE7DEB"/>
    <w:rsid w:val="00DF49EF"/>
    <w:rsid w:val="00E0540F"/>
    <w:rsid w:val="00E1116B"/>
    <w:rsid w:val="00E15831"/>
    <w:rsid w:val="00E209FC"/>
    <w:rsid w:val="00E243D3"/>
    <w:rsid w:val="00E30A1C"/>
    <w:rsid w:val="00E348DA"/>
    <w:rsid w:val="00E368EE"/>
    <w:rsid w:val="00E37DA3"/>
    <w:rsid w:val="00E56A55"/>
    <w:rsid w:val="00E61832"/>
    <w:rsid w:val="00E63B9E"/>
    <w:rsid w:val="00E77686"/>
    <w:rsid w:val="00E850F9"/>
    <w:rsid w:val="00E859BC"/>
    <w:rsid w:val="00E916B2"/>
    <w:rsid w:val="00E95E5C"/>
    <w:rsid w:val="00EA300E"/>
    <w:rsid w:val="00EA4949"/>
    <w:rsid w:val="00EB037E"/>
    <w:rsid w:val="00EB04F3"/>
    <w:rsid w:val="00EB527B"/>
    <w:rsid w:val="00EB6695"/>
    <w:rsid w:val="00EC4E58"/>
    <w:rsid w:val="00ED3903"/>
    <w:rsid w:val="00ED40DC"/>
    <w:rsid w:val="00ED6485"/>
    <w:rsid w:val="00F00E07"/>
    <w:rsid w:val="00F0199D"/>
    <w:rsid w:val="00F07C26"/>
    <w:rsid w:val="00F14772"/>
    <w:rsid w:val="00F20446"/>
    <w:rsid w:val="00F222A4"/>
    <w:rsid w:val="00F24FA1"/>
    <w:rsid w:val="00F2529C"/>
    <w:rsid w:val="00F26480"/>
    <w:rsid w:val="00F27FFB"/>
    <w:rsid w:val="00F305E9"/>
    <w:rsid w:val="00F3514B"/>
    <w:rsid w:val="00F45C21"/>
    <w:rsid w:val="00F500CC"/>
    <w:rsid w:val="00F501A7"/>
    <w:rsid w:val="00F510CD"/>
    <w:rsid w:val="00F63138"/>
    <w:rsid w:val="00F6726A"/>
    <w:rsid w:val="00F7169F"/>
    <w:rsid w:val="00F7264B"/>
    <w:rsid w:val="00F74CDD"/>
    <w:rsid w:val="00F80F5A"/>
    <w:rsid w:val="00F844A4"/>
    <w:rsid w:val="00F84EF0"/>
    <w:rsid w:val="00F86840"/>
    <w:rsid w:val="00F86EF1"/>
    <w:rsid w:val="00FB7300"/>
    <w:rsid w:val="00FB7AF8"/>
    <w:rsid w:val="00FC5648"/>
    <w:rsid w:val="00FD3D08"/>
    <w:rsid w:val="00FD43D8"/>
    <w:rsid w:val="00FE67B3"/>
    <w:rsid w:val="00FF649D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A00F42E"/>
  <w15:docId w15:val="{D89C4BE9-3C13-437A-91A4-80351EBE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382E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3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74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74D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6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A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6E0"/>
  </w:style>
  <w:style w:type="paragraph" w:styleId="Fuzeile">
    <w:name w:val="footer"/>
    <w:basedOn w:val="Standard"/>
    <w:link w:val="FuzeileZchn"/>
    <w:uiPriority w:val="99"/>
    <w:unhideWhenUsed/>
    <w:rsid w:val="001A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6E0"/>
  </w:style>
  <w:style w:type="paragraph" w:styleId="KeinLeerraum">
    <w:name w:val="No Spacing"/>
    <w:uiPriority w:val="1"/>
    <w:qFormat/>
    <w:rsid w:val="001A06E0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382E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styleId="Seitenzahl">
    <w:name w:val="page number"/>
    <w:basedOn w:val="Absatz-Standardschriftart"/>
    <w:rsid w:val="008724CD"/>
  </w:style>
  <w:style w:type="paragraph" w:customStyle="1" w:styleId="EinfAbs">
    <w:name w:val="[Einf. Abs.]"/>
    <w:basedOn w:val="Standard"/>
    <w:uiPriority w:val="99"/>
    <w:rsid w:val="00A938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9382E"/>
    <w:pPr>
      <w:spacing w:before="120" w:after="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9382E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Hyperlink">
    <w:name w:val="Hyperlink"/>
    <w:semiHidden/>
    <w:rsid w:val="00A9382E"/>
    <w:rPr>
      <w:color w:val="0000FF"/>
      <w:u w:val="single"/>
    </w:rPr>
  </w:style>
  <w:style w:type="paragraph" w:styleId="Textkrper3">
    <w:name w:val="Body Text 3"/>
    <w:link w:val="Textkrper3Zchn"/>
    <w:semiHidden/>
    <w:unhideWhenUsed/>
    <w:rsid w:val="00DD14C6"/>
    <w:pPr>
      <w:spacing w:after="120"/>
    </w:pPr>
    <w:rPr>
      <w:rFonts w:ascii="Arial" w:eastAsia="Arial Unicode MS" w:hAnsi="Arial" w:cs="Arial Unicode MS"/>
      <w:color w:val="000000"/>
      <w:sz w:val="16"/>
      <w:szCs w:val="16"/>
      <w:u w:color="00000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DD14C6"/>
    <w:rPr>
      <w:rFonts w:ascii="Arial" w:eastAsia="Arial Unicode MS" w:hAnsi="Arial" w:cs="Arial Unicode MS"/>
      <w:color w:val="000000"/>
      <w:sz w:val="16"/>
      <w:szCs w:val="16"/>
      <w:u w:color="00000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5B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5B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5B6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5B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5B6C"/>
    <w:rPr>
      <w:rFonts w:ascii="Arial" w:hAnsi="Arial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F501A7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501A7"/>
  </w:style>
  <w:style w:type="paragraph" w:styleId="berarbeitung">
    <w:name w:val="Revision"/>
    <w:hidden/>
    <w:uiPriority w:val="99"/>
    <w:semiHidden/>
    <w:rsid w:val="00334162"/>
    <w:pPr>
      <w:spacing w:after="0" w:line="240" w:lineRule="auto"/>
    </w:pPr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A158C4"/>
    <w:pPr>
      <w:ind w:left="720"/>
      <w:contextualSpacing/>
    </w:pPr>
    <w:rPr>
      <w:rFonts w:asciiTheme="minorHAnsi" w:hAnsiTheme="minorHAnsi"/>
      <w:sz w:val="22"/>
    </w:rPr>
  </w:style>
  <w:style w:type="paragraph" w:customStyle="1" w:styleId="paragraph">
    <w:name w:val="paragraph"/>
    <w:basedOn w:val="Standard"/>
    <w:rsid w:val="00EB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EB037E"/>
  </w:style>
  <w:style w:type="character" w:customStyle="1" w:styleId="eop">
    <w:name w:val="eop"/>
    <w:basedOn w:val="Absatz-Standardschriftart"/>
    <w:rsid w:val="00EB037E"/>
  </w:style>
  <w:style w:type="character" w:customStyle="1" w:styleId="spellingerror">
    <w:name w:val="spellingerror"/>
    <w:basedOn w:val="Absatz-Standardschriftart"/>
    <w:rsid w:val="00EB037E"/>
  </w:style>
  <w:style w:type="paragraph" w:styleId="StandardWeb">
    <w:name w:val="Normal (Web)"/>
    <w:basedOn w:val="Standard"/>
    <w:uiPriority w:val="99"/>
    <w:unhideWhenUsed/>
    <w:rsid w:val="00EB6695"/>
    <w:pPr>
      <w:spacing w:before="100" w:beforeAutospacing="1" w:after="100" w:afterAutospacing="1" w:line="240" w:lineRule="auto"/>
    </w:pPr>
    <w:rPr>
      <w:rFonts w:ascii="Calibri" w:hAnsi="Calibri" w:cs="Calibri"/>
      <w:sz w:val="22"/>
      <w:u w:color="00000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4D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4D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RT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tlef.Sieverdingbeck@HART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FC22-0551-40EE-BF32-CD23D053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HARTING KGaA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Klose, Michael</dc:creator>
  <cp:lastModifiedBy>Kuehme, Lars</cp:lastModifiedBy>
  <cp:revision>5</cp:revision>
  <cp:lastPrinted>2018-07-18T05:51:00Z</cp:lastPrinted>
  <dcterms:created xsi:type="dcterms:W3CDTF">2021-11-18T10:41:00Z</dcterms:created>
  <dcterms:modified xsi:type="dcterms:W3CDTF">2021-11-19T09:02:00Z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156776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D7.0.3</vt:lpwstr>
  </property>
</Properties>
</file>