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ADCAB" w14:textId="3A7D7554" w:rsidR="00D30B57" w:rsidRDefault="00D30B57" w:rsidP="00D30B57">
      <w:pPr>
        <w:pStyle w:val="StandardWeb"/>
        <w:keepNext/>
        <w:spacing w:before="0" w:beforeAutospacing="0" w:after="0" w:afterAutospacing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Kompakter</w:t>
      </w:r>
      <w:r w:rsidR="00F84943">
        <w:rPr>
          <w:rFonts w:ascii="Arial" w:hAnsi="Arial" w:cs="Arial"/>
          <w:b/>
          <w:bCs/>
          <w:sz w:val="24"/>
          <w:szCs w:val="24"/>
        </w:rPr>
        <w:t xml:space="preserve"> und </w:t>
      </w:r>
      <w:r>
        <w:rPr>
          <w:rFonts w:ascii="Arial" w:hAnsi="Arial" w:cs="Arial"/>
          <w:b/>
          <w:bCs/>
          <w:sz w:val="24"/>
          <w:szCs w:val="24"/>
        </w:rPr>
        <w:t>flexibler – Modularisierung und Miniaturisierung im Fokus</w:t>
      </w:r>
    </w:p>
    <w:p w14:paraId="6B0686EA" w14:textId="77777777" w:rsidR="0039405C" w:rsidRDefault="0039405C" w:rsidP="0039405C">
      <w:pPr>
        <w:pStyle w:val="KeinLeerraum"/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Neue Han</w:t>
      </w:r>
      <w:r>
        <w:rPr>
          <w:sz w:val="24"/>
          <w:szCs w:val="24"/>
          <w:vertAlign w:val="superscript"/>
        </w:rPr>
        <w:t>®</w:t>
      </w:r>
      <w:r>
        <w:rPr>
          <w:sz w:val="24"/>
          <w:szCs w:val="24"/>
        </w:rPr>
        <w:t xml:space="preserve"> Lösungen zur optimalen Übertragungsdichte, Einsparung von Bauraum und EMV-geschirmten Signalübertragung</w:t>
      </w:r>
    </w:p>
    <w:p w14:paraId="61AF89BA" w14:textId="3A4B86DB" w:rsidR="006B5723" w:rsidRPr="003903A2" w:rsidRDefault="00D30B57" w:rsidP="006B572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</w:rPr>
      </w:pPr>
      <w:r w:rsidRPr="006B5723">
        <w:rPr>
          <w:rFonts w:ascii="Arial" w:hAnsi="Arial" w:cs="Arial"/>
          <w:b/>
          <w:bCs/>
        </w:rPr>
        <w:t>Espelkamp</w:t>
      </w:r>
      <w:r w:rsidR="00CC59D4" w:rsidRPr="006B5723">
        <w:rPr>
          <w:rFonts w:ascii="Arial" w:hAnsi="Arial" w:cs="Arial"/>
          <w:b/>
          <w:bCs/>
        </w:rPr>
        <w:t>,</w:t>
      </w:r>
      <w:r w:rsidRPr="006B5723">
        <w:rPr>
          <w:rFonts w:ascii="Arial" w:hAnsi="Arial" w:cs="Arial"/>
          <w:b/>
          <w:bCs/>
        </w:rPr>
        <w:t xml:space="preserve"> 23. November 2021 --- </w:t>
      </w:r>
      <w:r w:rsidR="00B20E36" w:rsidRPr="00B20E36">
        <w:rPr>
          <w:rStyle w:val="normaltextrun"/>
          <w:rFonts w:ascii="Arial" w:hAnsi="Arial" w:cs="Arial"/>
          <w:b/>
          <w:bCs/>
        </w:rPr>
        <w:t xml:space="preserve">Technologischer Fortschritt und Entwicklung in der Industrie werden maßgeblich von den </w:t>
      </w:r>
      <w:r w:rsidR="00B57620" w:rsidRPr="00B20E36">
        <w:rPr>
          <w:rStyle w:val="normaltextrun"/>
          <w:rFonts w:ascii="Arial" w:hAnsi="Arial" w:cs="Arial"/>
          <w:b/>
          <w:bCs/>
        </w:rPr>
        <w:t xml:space="preserve">Trends der Miniaturisierung und Modularisierung </w:t>
      </w:r>
      <w:r w:rsidR="00B20E36" w:rsidRPr="00B20E36">
        <w:rPr>
          <w:rStyle w:val="normaltextrun"/>
          <w:rFonts w:ascii="Arial" w:hAnsi="Arial" w:cs="Arial"/>
          <w:b/>
          <w:bCs/>
        </w:rPr>
        <w:t xml:space="preserve">geprägt – hier sind </w:t>
      </w:r>
      <w:r w:rsidR="00B57620" w:rsidRPr="00B20E36">
        <w:rPr>
          <w:rStyle w:val="normaltextrun"/>
          <w:rFonts w:ascii="Arial" w:hAnsi="Arial" w:cs="Arial"/>
          <w:b/>
          <w:bCs/>
        </w:rPr>
        <w:t>immer wieder neue Lösungen und Produkte</w:t>
      </w:r>
      <w:r w:rsidR="00B20E36" w:rsidRPr="00B20E36">
        <w:rPr>
          <w:rStyle w:val="normaltextrun"/>
          <w:rFonts w:ascii="Arial" w:hAnsi="Arial" w:cs="Arial"/>
          <w:b/>
          <w:bCs/>
        </w:rPr>
        <w:t xml:space="preserve"> gefordert</w:t>
      </w:r>
      <w:r w:rsidR="00B57620" w:rsidRPr="00B20E36">
        <w:rPr>
          <w:rStyle w:val="normaltextrun"/>
          <w:rFonts w:ascii="Arial" w:hAnsi="Arial" w:cs="Arial"/>
          <w:b/>
          <w:bCs/>
        </w:rPr>
        <w:t>.</w:t>
      </w:r>
      <w:r w:rsidR="00B57620" w:rsidRPr="00941FF0">
        <w:rPr>
          <w:rStyle w:val="normaltextrun"/>
          <w:rFonts w:ascii="Arial" w:hAnsi="Arial" w:cs="Arial"/>
        </w:rPr>
        <w:t> </w:t>
      </w:r>
      <w:r w:rsidR="00257727" w:rsidRPr="003903A2">
        <w:rPr>
          <w:rStyle w:val="normaltextrun"/>
          <w:rFonts w:ascii="Arial" w:hAnsi="Arial" w:cs="Arial"/>
          <w:b/>
          <w:bCs/>
        </w:rPr>
        <w:t>Für den Bereich der „schweren“ Industriesteckverbinder hat die HARTING Technologiegruppe</w:t>
      </w:r>
      <w:r w:rsidR="003903A2" w:rsidRPr="003903A2">
        <w:rPr>
          <w:rStyle w:val="normaltextrun"/>
          <w:rFonts w:ascii="Arial" w:hAnsi="Arial" w:cs="Arial"/>
          <w:b/>
          <w:bCs/>
        </w:rPr>
        <w:t xml:space="preserve"> neue modulare und miniaturisierte Lösungen parat</w:t>
      </w:r>
      <w:r w:rsidR="006B5723" w:rsidRPr="003903A2">
        <w:rPr>
          <w:rStyle w:val="normaltextrun"/>
          <w:rFonts w:ascii="Arial" w:hAnsi="Arial" w:cs="Arial"/>
          <w:b/>
          <w:bCs/>
        </w:rPr>
        <w:t xml:space="preserve">. </w:t>
      </w:r>
    </w:p>
    <w:p w14:paraId="42E234A4" w14:textId="77777777" w:rsidR="003903A2" w:rsidRDefault="003903A2" w:rsidP="00EC39DF">
      <w:pPr>
        <w:spacing w:line="360" w:lineRule="auto"/>
      </w:pPr>
    </w:p>
    <w:p w14:paraId="34696B1D" w14:textId="7CF9A314" w:rsidR="00EC39DF" w:rsidRPr="00037AD3" w:rsidRDefault="00EC39DF" w:rsidP="00EC39DF">
      <w:pPr>
        <w:spacing w:line="360" w:lineRule="auto"/>
      </w:pPr>
      <w:r w:rsidRPr="00B57620">
        <w:t>HARTING hat für den Han</w:t>
      </w:r>
      <w:r w:rsidRPr="00B57620">
        <w:rPr>
          <w:vertAlign w:val="superscript"/>
        </w:rPr>
        <w:t>®</w:t>
      </w:r>
      <w:r w:rsidRPr="00B57620">
        <w:t xml:space="preserve"> B Standard ein neues Format entwickelt: Der </w:t>
      </w:r>
      <w:r w:rsidRPr="003903A2">
        <w:rPr>
          <w:b/>
          <w:bCs/>
        </w:rPr>
        <w:t>Han</w:t>
      </w:r>
      <w:r w:rsidRPr="003903A2">
        <w:rPr>
          <w:b/>
          <w:bCs/>
          <w:vertAlign w:val="superscript"/>
        </w:rPr>
        <w:t>®</w:t>
      </w:r>
      <w:r w:rsidRPr="003903A2">
        <w:rPr>
          <w:b/>
          <w:bCs/>
        </w:rPr>
        <w:t xml:space="preserve"> L32 B</w:t>
      </w:r>
      <w:r w:rsidRPr="00B57620">
        <w:t xml:space="preserve"> erhöht die Flexibilität in der Auswahl des richtigen Rechtecksteckverbinders für Industrieapplikationen.</w:t>
      </w:r>
      <w:r w:rsidR="003903A2">
        <w:t xml:space="preserve"> </w:t>
      </w:r>
      <w:r w:rsidRPr="00037AD3">
        <w:t xml:space="preserve">Mit </w:t>
      </w:r>
      <w:r w:rsidR="003903A2">
        <w:t>ihm</w:t>
      </w:r>
      <w:r w:rsidRPr="00037AD3">
        <w:t xml:space="preserve"> können Anwender zwei Schnittstellen der Baugröße 16 B ersetzen und so über 40% Bauraum einsparen. </w:t>
      </w:r>
      <w:r w:rsidR="006A2AB7">
        <w:t>Getreu dem Motto „Weniger ist mehr“ ist so e</w:t>
      </w:r>
      <w:r w:rsidRPr="00037AD3">
        <w:t xml:space="preserve">ine Übertragung von Leistung, Signalen und Daten ist folglich mit einer geringeren Zahl von Schnittstellen und weniger Bauteilen möglich. Die für die Konfektionierung der Schnittstellen </w:t>
      </w:r>
      <w:r>
        <w:t xml:space="preserve">benötigte </w:t>
      </w:r>
      <w:r w:rsidRPr="00037AD3">
        <w:t>Zeit</w:t>
      </w:r>
      <w:r>
        <w:t xml:space="preserve"> </w:t>
      </w:r>
      <w:r w:rsidRPr="00037AD3">
        <w:t>reduziert sich. Viele Anwendungen, zum Beispiel in der Robotik, profitieren zudem vom geringeren Gewicht, das sich aufgrund der Reduktion ergibt.</w:t>
      </w:r>
      <w:r w:rsidR="006A2AB7">
        <w:t xml:space="preserve"> Dies alles sind Mehrwerte für den Kunden.</w:t>
      </w:r>
    </w:p>
    <w:p w14:paraId="498DEF75" w14:textId="1AE2D20A" w:rsidR="00EC39DF" w:rsidRPr="00037AD3" w:rsidRDefault="00EC39DF" w:rsidP="00EC39DF">
      <w:pPr>
        <w:spacing w:line="360" w:lineRule="auto"/>
      </w:pPr>
      <w:r w:rsidRPr="00037AD3">
        <w:t xml:space="preserve">Ein </w:t>
      </w:r>
      <w:r w:rsidRPr="00EC39DF">
        <w:rPr>
          <w:b/>
          <w:bCs/>
        </w:rPr>
        <w:t>Han</w:t>
      </w:r>
      <w:r w:rsidRPr="00EC39DF">
        <w:rPr>
          <w:b/>
          <w:bCs/>
          <w:vertAlign w:val="superscript"/>
        </w:rPr>
        <w:t>®</w:t>
      </w:r>
      <w:r w:rsidRPr="00EC39DF">
        <w:rPr>
          <w:b/>
          <w:bCs/>
        </w:rPr>
        <w:t xml:space="preserve"> L32 B</w:t>
      </w:r>
      <w:r w:rsidRPr="00037AD3">
        <w:t xml:space="preserve"> Gehäuse bietet Platz für einen Han E</w:t>
      </w:r>
      <w:r w:rsidRPr="00037AD3">
        <w:rPr>
          <w:vertAlign w:val="superscript"/>
        </w:rPr>
        <w:t>®</w:t>
      </w:r>
      <w:r w:rsidRPr="00037AD3">
        <w:t xml:space="preserve"> Isolierkörper mit 32 Kontaktstellen (16 A/500 V) oder für einen Han-Modular</w:t>
      </w:r>
      <w:r w:rsidRPr="00037AD3">
        <w:rPr>
          <w:vertAlign w:val="superscript"/>
        </w:rPr>
        <w:t>®</w:t>
      </w:r>
      <w:r w:rsidRPr="00037AD3">
        <w:t xml:space="preserve"> Gelenkrahmen, in den bis zu acht Module passen. Die neue Baugröße bietet damit nicht nur Platz für den Gelenkrahmen mit den meisten Modulplätzen, sondern ermöglicht </w:t>
      </w:r>
      <w:r w:rsidR="00F84943">
        <w:t xml:space="preserve">auch </w:t>
      </w:r>
      <w:r w:rsidRPr="00037AD3">
        <w:t>die höchste Moduldichte in einem Han</w:t>
      </w:r>
      <w:r w:rsidRPr="00037AD3">
        <w:rPr>
          <w:vertAlign w:val="superscript"/>
        </w:rPr>
        <w:t>®</w:t>
      </w:r>
      <w:r w:rsidRPr="00037AD3">
        <w:t xml:space="preserve"> Steckverbinder überhaupt. Anwender können aus der Vielzahl vorhandener Han-Modular</w:t>
      </w:r>
      <w:r w:rsidRPr="00037AD3">
        <w:rPr>
          <w:vertAlign w:val="superscript"/>
        </w:rPr>
        <w:t>®</w:t>
      </w:r>
      <w:r w:rsidRPr="00037AD3">
        <w:t xml:space="preserve"> Module die optimale Schnittstelle für nahezu jede Applikation zusammenstellen.</w:t>
      </w:r>
    </w:p>
    <w:p w14:paraId="53485A7E" w14:textId="77777777" w:rsidR="00EC39DF" w:rsidRPr="00037AD3" w:rsidRDefault="00EC39DF" w:rsidP="00EC39DF">
      <w:pPr>
        <w:spacing w:line="360" w:lineRule="auto"/>
        <w:rPr>
          <w:b/>
          <w:bCs/>
        </w:rPr>
      </w:pPr>
      <w:r w:rsidRPr="00037AD3">
        <w:rPr>
          <w:b/>
          <w:bCs/>
        </w:rPr>
        <w:t>Bauraum sparen – HARTING Module mit neuen Möglichkeiten der Schirmübertragung</w:t>
      </w:r>
    </w:p>
    <w:p w14:paraId="20F2C318" w14:textId="77777777" w:rsidR="00EC39DF" w:rsidRPr="00037AD3" w:rsidRDefault="00EC39DF" w:rsidP="00EC39DF">
      <w:pPr>
        <w:spacing w:line="360" w:lineRule="auto"/>
      </w:pPr>
      <w:r w:rsidRPr="00037AD3">
        <w:t xml:space="preserve">Das Format </w:t>
      </w:r>
      <w:r w:rsidRPr="00EC39DF">
        <w:rPr>
          <w:b/>
          <w:bCs/>
        </w:rPr>
        <w:t>M12</w:t>
      </w:r>
      <w:r w:rsidRPr="00037AD3">
        <w:t xml:space="preserve"> ist </w:t>
      </w:r>
      <w:r w:rsidRPr="00EC39DF">
        <w:rPr>
          <w:b/>
          <w:bCs/>
        </w:rPr>
        <w:t>neu im Han-Modular</w:t>
      </w:r>
      <w:r w:rsidRPr="00EC39DF">
        <w:rPr>
          <w:b/>
          <w:bCs/>
          <w:vertAlign w:val="superscript"/>
        </w:rPr>
        <w:t>®</w:t>
      </w:r>
      <w:r w:rsidRPr="00EC39DF">
        <w:rPr>
          <w:b/>
          <w:bCs/>
        </w:rPr>
        <w:t xml:space="preserve"> Programm</w:t>
      </w:r>
      <w:r w:rsidRPr="00037AD3">
        <w:t xml:space="preserve">. Zwei dieser Steckverbinder, X- oder D-codiert, passen in jedes Modul. Damit lässt sich beispielsweise 10 Gbit/s Ethernet besonders platzsparend in eine modulare Schnittstelle integrieren. Im Vergleich zu </w:t>
      </w:r>
      <w:r w:rsidRPr="00037AD3">
        <w:lastRenderedPageBreak/>
        <w:t xml:space="preserve">herkömmlichen RJ45-Lösungen ist die neue M12-Schnittstelle von HARTING bedeutend robuster. Alle gängigen Bussysteme können leicht adaptiert werden, u.a. </w:t>
      </w:r>
      <w:proofErr w:type="spellStart"/>
      <w:r w:rsidRPr="00037AD3">
        <w:t>Profibus</w:t>
      </w:r>
      <w:proofErr w:type="spellEnd"/>
      <w:r w:rsidRPr="00037AD3">
        <w:t xml:space="preserve">, </w:t>
      </w:r>
      <w:proofErr w:type="spellStart"/>
      <w:r w:rsidRPr="00037AD3">
        <w:t>Profinet</w:t>
      </w:r>
      <w:proofErr w:type="spellEnd"/>
      <w:r w:rsidRPr="00037AD3">
        <w:t>, CAN, Ethernet Cat. 5 und Cat. 6</w:t>
      </w:r>
      <w:r w:rsidRPr="00037AD3">
        <w:rPr>
          <w:vertAlign w:val="subscript"/>
        </w:rPr>
        <w:t>A</w:t>
      </w:r>
      <w:r w:rsidRPr="00037AD3">
        <w:t>.</w:t>
      </w:r>
    </w:p>
    <w:p w14:paraId="1C3343CA" w14:textId="77777777" w:rsidR="00EC39DF" w:rsidRPr="00037AD3" w:rsidRDefault="00EC39DF" w:rsidP="00EC39DF">
      <w:pPr>
        <w:spacing w:line="360" w:lineRule="auto"/>
      </w:pPr>
    </w:p>
    <w:p w14:paraId="1D3E369B" w14:textId="07F78BEC" w:rsidR="005744D9" w:rsidRDefault="00EC39DF" w:rsidP="00EC39DF">
      <w:pPr>
        <w:spacing w:line="360" w:lineRule="auto"/>
      </w:pPr>
      <w:r w:rsidRPr="00037AD3">
        <w:t xml:space="preserve">Das </w:t>
      </w:r>
      <w:r w:rsidRPr="00EC39DF">
        <w:rPr>
          <w:b/>
          <w:bCs/>
        </w:rPr>
        <w:t>Han</w:t>
      </w:r>
      <w:r w:rsidRPr="00EC39DF">
        <w:rPr>
          <w:b/>
          <w:bCs/>
          <w:vertAlign w:val="superscript"/>
        </w:rPr>
        <w:t>®</w:t>
      </w:r>
      <w:r w:rsidRPr="00EC39DF">
        <w:rPr>
          <w:b/>
          <w:bCs/>
        </w:rPr>
        <w:t xml:space="preserve"> </w:t>
      </w:r>
      <w:proofErr w:type="spellStart"/>
      <w:r w:rsidRPr="00EC39DF">
        <w:rPr>
          <w:b/>
          <w:bCs/>
        </w:rPr>
        <w:t>Shielded</w:t>
      </w:r>
      <w:proofErr w:type="spellEnd"/>
      <w:r w:rsidRPr="00EC39DF">
        <w:rPr>
          <w:b/>
          <w:bCs/>
        </w:rPr>
        <w:t xml:space="preserve"> Power Modul</w:t>
      </w:r>
      <w:r w:rsidRPr="00037AD3">
        <w:t xml:space="preserve"> bildet eine platzsparende und leicht zu wartende Alternative zu festverdrahteten geschirmten Power-Leitungen. Das Modul ist mit drei Leistungskontakten (16 A/400 V) ausgestattet und eignet sich beispielsweise zur Anbindung frequenzgeregelter Antriebe. Außerdem gibt es ein neues EMV-geschütztes Modul zur Signalübertragung: Mit einer großflächigen Schirmübergabe und einem 360°-Schirmblech bietet das </w:t>
      </w:r>
      <w:r w:rsidRPr="00EC39DF">
        <w:rPr>
          <w:b/>
          <w:bCs/>
        </w:rPr>
        <w:t>Han</w:t>
      </w:r>
      <w:r w:rsidRPr="00EC39DF">
        <w:rPr>
          <w:b/>
          <w:bCs/>
          <w:vertAlign w:val="superscript"/>
        </w:rPr>
        <w:t>®</w:t>
      </w:r>
      <w:r w:rsidRPr="00EC39DF">
        <w:rPr>
          <w:b/>
          <w:bCs/>
        </w:rPr>
        <w:t xml:space="preserve"> </w:t>
      </w:r>
      <w:proofErr w:type="spellStart"/>
      <w:r w:rsidRPr="00EC39DF">
        <w:rPr>
          <w:b/>
          <w:bCs/>
        </w:rPr>
        <w:t>Shielded</w:t>
      </w:r>
      <w:proofErr w:type="spellEnd"/>
      <w:r w:rsidRPr="00EC39DF">
        <w:rPr>
          <w:b/>
          <w:bCs/>
        </w:rPr>
        <w:t xml:space="preserve"> Modul Basic</w:t>
      </w:r>
      <w:r w:rsidRPr="00037AD3">
        <w:t xml:space="preserve"> nicht nur eine gute Schirmung, es ermöglicht auch viel Übertragung auf wenig Bauraum. So können bis zu 27 geschirmte D-Sub-Kontakte mit 4 A/32 V steckbar ausgeführt werden.</w:t>
      </w:r>
    </w:p>
    <w:p w14:paraId="38CE8A7B" w14:textId="66919E55" w:rsidR="005744D9" w:rsidRDefault="005744D9" w:rsidP="00EC39DF">
      <w:pPr>
        <w:spacing w:line="360" w:lineRule="auto"/>
      </w:pPr>
      <w:r>
        <w:rPr>
          <w:noProof/>
        </w:rPr>
        <w:drawing>
          <wp:inline distT="0" distB="0" distL="0" distR="0" wp14:anchorId="121EE3C1" wp14:editId="34C1C035">
            <wp:extent cx="2533094" cy="2854325"/>
            <wp:effectExtent l="0" t="0" r="63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87" cy="285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8D843" w14:textId="2DED3D89" w:rsidR="005744D9" w:rsidRDefault="005744D9" w:rsidP="00EC39DF">
      <w:pPr>
        <w:spacing w:line="360" w:lineRule="auto"/>
      </w:pPr>
    </w:p>
    <w:p w14:paraId="015E7748" w14:textId="3693B308" w:rsidR="005744D9" w:rsidRDefault="005744D9" w:rsidP="00EC39DF">
      <w:pPr>
        <w:spacing w:line="360" w:lineRule="auto"/>
      </w:pPr>
      <w:r w:rsidRPr="005744D9">
        <w:rPr>
          <w:b/>
          <w:bCs/>
        </w:rPr>
        <w:t>Bildzeile:</w:t>
      </w:r>
      <w:r>
        <w:t xml:space="preserve"> </w:t>
      </w:r>
      <w:r w:rsidRPr="005744D9">
        <w:t>Han</w:t>
      </w:r>
      <w:r w:rsidRPr="005744D9">
        <w:rPr>
          <w:vertAlign w:val="superscript"/>
        </w:rPr>
        <w:t>®</w:t>
      </w:r>
      <w:r w:rsidRPr="005744D9">
        <w:t xml:space="preserve"> L32 B bietet vielfältige Gehäusevarianten: </w:t>
      </w:r>
      <w:proofErr w:type="spellStart"/>
      <w:r w:rsidRPr="005744D9">
        <w:t>Tüllengehäuse</w:t>
      </w:r>
      <w:proofErr w:type="spellEnd"/>
      <w:r w:rsidRPr="005744D9">
        <w:t xml:space="preserve"> mit geradem oder seitlichem Kabelabgang, Anbau-, Anbausockel- und Kupplungsgehäuse</w:t>
      </w:r>
    </w:p>
    <w:p w14:paraId="7B168470" w14:textId="29E3AF41" w:rsidR="005744D9" w:rsidRDefault="005744D9" w:rsidP="00EC39DF">
      <w:pPr>
        <w:spacing w:line="360" w:lineRule="auto"/>
      </w:pPr>
    </w:p>
    <w:p w14:paraId="1EC7201D" w14:textId="5B47FDCA" w:rsidR="005744D9" w:rsidRDefault="005744D9" w:rsidP="00EC39DF">
      <w:pPr>
        <w:spacing w:line="360" w:lineRule="auto"/>
      </w:pPr>
    </w:p>
    <w:p w14:paraId="5B60CD1C" w14:textId="782C9604" w:rsidR="005744D9" w:rsidRDefault="005744D9" w:rsidP="00EC39DF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12FBBF38" wp14:editId="7C0A6A16">
            <wp:extent cx="3495675" cy="1388273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683" cy="13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39C8C" w14:textId="126BAC8A" w:rsidR="005744D9" w:rsidRDefault="005744D9" w:rsidP="00EC39DF">
      <w:pPr>
        <w:spacing w:line="360" w:lineRule="auto"/>
      </w:pPr>
      <w:r w:rsidRPr="005744D9">
        <w:rPr>
          <w:b/>
          <w:bCs/>
        </w:rPr>
        <w:t>Bildzeile:</w:t>
      </w:r>
      <w:r>
        <w:t xml:space="preserve"> </w:t>
      </w:r>
      <w:r w:rsidRPr="005744D9">
        <w:t>Das Han</w:t>
      </w:r>
      <w:r w:rsidRPr="005744D9">
        <w:rPr>
          <w:vertAlign w:val="superscript"/>
        </w:rPr>
        <w:t>®</w:t>
      </w:r>
      <w:r w:rsidRPr="005744D9">
        <w:t xml:space="preserve"> </w:t>
      </w:r>
      <w:proofErr w:type="spellStart"/>
      <w:r w:rsidRPr="005744D9">
        <w:t>Shielded</w:t>
      </w:r>
      <w:proofErr w:type="spellEnd"/>
      <w:r w:rsidRPr="005744D9">
        <w:t xml:space="preserve"> Power Modul für die EMV-gerechte Leistungsübertragung im modularen Steckverbinder (incl. 3 x Leistung, PE, Signale, Schirmübergabe)</w:t>
      </w:r>
      <w:r>
        <w:t>.</w:t>
      </w:r>
    </w:p>
    <w:p w14:paraId="78E45E6B" w14:textId="6B6641D7" w:rsidR="00595949" w:rsidRDefault="00595949" w:rsidP="00EC39DF">
      <w:pPr>
        <w:spacing w:line="360" w:lineRule="auto"/>
      </w:pPr>
      <w:r>
        <w:rPr>
          <w:noProof/>
        </w:rPr>
        <w:drawing>
          <wp:inline distT="0" distB="0" distL="0" distR="0" wp14:anchorId="185505D2" wp14:editId="39275656">
            <wp:extent cx="2362128" cy="2447925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19" cy="245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A931" w14:textId="372B7E0E" w:rsidR="00595949" w:rsidRDefault="00595949" w:rsidP="00595949">
      <w:pPr>
        <w:spacing w:line="360" w:lineRule="auto"/>
      </w:pPr>
      <w:r w:rsidRPr="005744D9">
        <w:rPr>
          <w:b/>
          <w:bCs/>
        </w:rPr>
        <w:t>Bildzeile:</w:t>
      </w:r>
      <w:r>
        <w:t xml:space="preserve"> Neu </w:t>
      </w:r>
      <w:r w:rsidRPr="00595949">
        <w:t>im Han-Modular</w:t>
      </w:r>
      <w:r w:rsidRPr="00595949">
        <w:rPr>
          <w:vertAlign w:val="superscript"/>
        </w:rPr>
        <w:t>®</w:t>
      </w:r>
      <w:r w:rsidRPr="00595949">
        <w:t xml:space="preserve"> Programm</w:t>
      </w:r>
      <w:r w:rsidR="003D21C9">
        <w:t>:</w:t>
      </w:r>
      <w:r w:rsidRPr="00037AD3">
        <w:t xml:space="preserve"> </w:t>
      </w:r>
      <w:r w:rsidR="003D21C9">
        <w:t>d</w:t>
      </w:r>
      <w:r w:rsidRPr="00037AD3">
        <w:t xml:space="preserve">as Format </w:t>
      </w:r>
      <w:r w:rsidRPr="003D21C9">
        <w:t>M12</w:t>
      </w:r>
      <w:r w:rsidRPr="00037AD3">
        <w:t xml:space="preserve">. </w:t>
      </w:r>
      <w:r w:rsidR="003D21C9">
        <w:t>In jedes Modul passen z</w:t>
      </w:r>
      <w:r w:rsidRPr="00037AD3">
        <w:t xml:space="preserve">wei dieser Steckverbinder, X- oder D-codiert. </w:t>
      </w:r>
    </w:p>
    <w:p w14:paraId="4402974E" w14:textId="77777777" w:rsidR="003D21C9" w:rsidRDefault="003D21C9" w:rsidP="00D30B57">
      <w:pPr>
        <w:rPr>
          <w:b/>
        </w:rPr>
      </w:pPr>
    </w:p>
    <w:p w14:paraId="534214B7" w14:textId="0E894AAD" w:rsidR="00D30B57" w:rsidRDefault="00D30B57" w:rsidP="00D30B57">
      <w:r>
        <w:rPr>
          <w:b/>
        </w:rPr>
        <w:t>Über HARTING:</w:t>
      </w:r>
    </w:p>
    <w:p w14:paraId="29219BA1" w14:textId="77777777" w:rsidR="00D30B57" w:rsidRDefault="00D30B57" w:rsidP="00D30B57">
      <w:pPr>
        <w:spacing w:after="0" w:line="360" w:lineRule="auto"/>
      </w:pPr>
      <w:r>
        <w:t xml:space="preserve">Die HARTING Technologiegruppe ist ein weltweit führender Anbieter von industrieller Verbindungstechnik für die drei Lebensadern „Data“, „Signal“ und „Power“ mit </w:t>
      </w:r>
      <w:r>
        <w:br/>
        <w:t xml:space="preserve">14 Produktionsstätten und Niederlassungen in 44 Ländern. Darüber hinaus stellt das Unternehmen auch Kassenzonen für den Einzelhandel, elektromagnetische Aktuatoren für den </w:t>
      </w:r>
      <w:proofErr w:type="spellStart"/>
      <w:r>
        <w:t>automotiven</w:t>
      </w:r>
      <w:proofErr w:type="spellEnd"/>
      <w:r>
        <w:t xml:space="preserve"> und industriellen Serieneinsatz, Ladeequipment für Elektrofahrzeuge sowie Hard- und Software für Kunden und Anwendungen u. a. in der Automatisierungs-technik, im Maschinen- und Anlagenbau, in der Robotik und im Bereich Transportation her. Rund 5.500 Mitarbeitende erwirtschafteten 2019/20 einen Umsatz von 759 Mio. Euro.</w:t>
      </w:r>
    </w:p>
    <w:p w14:paraId="095C3F97" w14:textId="77777777" w:rsidR="00D30B57" w:rsidRDefault="00D30B57" w:rsidP="00D30B57">
      <w:pPr>
        <w:spacing w:after="0" w:line="360" w:lineRule="auto"/>
      </w:pPr>
    </w:p>
    <w:p w14:paraId="33003E00" w14:textId="77777777" w:rsidR="00D30B57" w:rsidRDefault="00D30B57" w:rsidP="00D30B57">
      <w:pPr>
        <w:spacing w:line="240" w:lineRule="auto"/>
        <w:rPr>
          <w:rFonts w:cs="Arial"/>
          <w:u w:val="single"/>
        </w:rPr>
      </w:pPr>
      <w:r>
        <w:rPr>
          <w:rFonts w:cs="Arial"/>
          <w:b/>
          <w:u w:val="single"/>
        </w:rPr>
        <w:t>Kontakt:</w:t>
      </w:r>
    </w:p>
    <w:p w14:paraId="2B575E0B" w14:textId="77777777" w:rsidR="00D30B57" w:rsidRDefault="00D30B57" w:rsidP="00D30B57">
      <w:pPr>
        <w:spacing w:line="240" w:lineRule="auto"/>
        <w:rPr>
          <w:rFonts w:cs="Arial"/>
        </w:rPr>
      </w:pPr>
      <w:r>
        <w:rPr>
          <w:rFonts w:cs="Arial"/>
        </w:rPr>
        <w:t>HARTING Stiftung &amp; Co. KG</w:t>
      </w:r>
      <w:r>
        <w:rPr>
          <w:rFonts w:cs="Arial"/>
        </w:rPr>
        <w:br/>
        <w:t>Detlef Sieverdingbeck</w:t>
      </w:r>
      <w:r>
        <w:rPr>
          <w:rFonts w:cs="Arial"/>
        </w:rPr>
        <w:br/>
        <w:t>Zentralbereichsleiter</w:t>
      </w:r>
      <w:r>
        <w:rPr>
          <w:rFonts w:cs="Arial"/>
        </w:rPr>
        <w:br/>
      </w:r>
      <w:r>
        <w:rPr>
          <w:rFonts w:eastAsiaTheme="minorEastAsia" w:cs="Arial"/>
          <w:noProof/>
        </w:rPr>
        <w:t>Corporate Communication &amp; Branding (CCB)</w:t>
      </w:r>
      <w:r>
        <w:rPr>
          <w:rFonts w:eastAsiaTheme="minorEastAsia" w:cs="Arial"/>
          <w:noProof/>
        </w:rPr>
        <w:br/>
      </w:r>
      <w:proofErr w:type="spellStart"/>
      <w:r>
        <w:rPr>
          <w:rFonts w:cs="Arial"/>
        </w:rPr>
        <w:t>Marienwerderstr</w:t>
      </w:r>
      <w:proofErr w:type="spellEnd"/>
      <w:r>
        <w:rPr>
          <w:rFonts w:cs="Arial"/>
        </w:rPr>
        <w:t>. 3</w:t>
      </w:r>
    </w:p>
    <w:p w14:paraId="51BF8FE1" w14:textId="77777777" w:rsidR="00D30B57" w:rsidRDefault="00D30B57" w:rsidP="00D30B57">
      <w:pPr>
        <w:spacing w:line="240" w:lineRule="auto"/>
        <w:rPr>
          <w:rFonts w:cs="Arial"/>
        </w:rPr>
      </w:pPr>
      <w:r>
        <w:rPr>
          <w:rFonts w:cs="Arial"/>
        </w:rPr>
        <w:t>32339 Espelkamp</w:t>
      </w:r>
    </w:p>
    <w:p w14:paraId="1984DD5F" w14:textId="03A8E634" w:rsidR="00D30B57" w:rsidRDefault="00D30B57" w:rsidP="00D30B57">
      <w:pPr>
        <w:spacing w:line="240" w:lineRule="auto"/>
      </w:pPr>
      <w:r>
        <w:rPr>
          <w:rFonts w:cs="Arial"/>
        </w:rPr>
        <w:t>Tel.: 05772 47-244</w:t>
      </w:r>
      <w:r>
        <w:rPr>
          <w:rFonts w:cs="Arial"/>
        </w:rPr>
        <w:br/>
        <w:t>Fax: 05772 47-400</w:t>
      </w:r>
      <w:r>
        <w:rPr>
          <w:rFonts w:cs="Arial"/>
        </w:rPr>
        <w:br/>
      </w:r>
      <w:hyperlink r:id="rId11" w:history="1">
        <w:r>
          <w:rPr>
            <w:rStyle w:val="Hyperlink"/>
            <w:rFonts w:cs="Arial"/>
          </w:rPr>
          <w:t>Detlef.Sieverdingbeck@HARTING.com</w:t>
        </w:r>
      </w:hyperlink>
      <w:r>
        <w:br/>
      </w:r>
      <w:r>
        <w:rPr>
          <w:rFonts w:cs="Arial"/>
        </w:rPr>
        <w:t xml:space="preserve">Weitere Informationen: </w:t>
      </w:r>
      <w:hyperlink r:id="rId12" w:history="1">
        <w:r>
          <w:rPr>
            <w:rStyle w:val="Hyperlink"/>
            <w:rFonts w:cs="Arial"/>
          </w:rPr>
          <w:t>www.</w:t>
        </w:r>
        <w:r>
          <w:rPr>
            <w:rStyle w:val="Hyperlink"/>
          </w:rPr>
          <w:t>HARTING.com</w:t>
        </w:r>
      </w:hyperlink>
    </w:p>
    <w:p w14:paraId="75096971" w14:textId="051EFFE0" w:rsidR="00C774CA" w:rsidRPr="00D30B57" w:rsidRDefault="00C774CA" w:rsidP="00D30B57">
      <w:pPr>
        <w:rPr>
          <w:rStyle w:val="Hyperlink"/>
          <w:color w:val="auto"/>
          <w:u w:val="none"/>
        </w:rPr>
      </w:pPr>
    </w:p>
    <w:sectPr w:rsidR="00C774CA" w:rsidRPr="00D30B57" w:rsidSect="002C38B2">
      <w:headerReference w:type="default" r:id="rId13"/>
      <w:pgSz w:w="11906" w:h="16838" w:code="9"/>
      <w:pgMar w:top="2658" w:right="964" w:bottom="1134" w:left="136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548FD" w14:textId="77777777" w:rsidR="00746910" w:rsidRDefault="00746910" w:rsidP="001A06E0">
      <w:pPr>
        <w:spacing w:after="0" w:line="240" w:lineRule="auto"/>
      </w:pPr>
      <w:r>
        <w:separator/>
      </w:r>
    </w:p>
  </w:endnote>
  <w:endnote w:type="continuationSeparator" w:id="0">
    <w:p w14:paraId="274B1EF1" w14:textId="77777777" w:rsidR="00746910" w:rsidRDefault="00746910" w:rsidP="001A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64C87" w14:textId="77777777" w:rsidR="00746910" w:rsidRDefault="00746910" w:rsidP="001A06E0">
      <w:pPr>
        <w:spacing w:after="0" w:line="240" w:lineRule="auto"/>
      </w:pPr>
      <w:r>
        <w:separator/>
      </w:r>
    </w:p>
  </w:footnote>
  <w:footnote w:type="continuationSeparator" w:id="0">
    <w:p w14:paraId="40205B6F" w14:textId="77777777" w:rsidR="00746910" w:rsidRDefault="00746910" w:rsidP="001A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4DB7" w14:textId="77777777" w:rsidR="002D4B0F" w:rsidRDefault="002D4B0F" w:rsidP="00A9382E">
    <w:pPr>
      <w:pStyle w:val="Titel"/>
    </w:pPr>
    <w:r w:rsidRPr="00A9382E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49C84F6" wp14:editId="23A59002">
          <wp:simplePos x="0" y="0"/>
          <wp:positionH relativeFrom="column">
            <wp:posOffset>-853440</wp:posOffset>
          </wp:positionH>
          <wp:positionV relativeFrom="paragraph">
            <wp:posOffset>-440690</wp:posOffset>
          </wp:positionV>
          <wp:extent cx="7560000" cy="1080000"/>
          <wp:effectExtent l="0" t="0" r="3175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03_Kopf Pressebo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82E">
      <w:t>Presseinformation</w:t>
    </w:r>
  </w:p>
  <w:p w14:paraId="05782672" w14:textId="2145FDCE" w:rsidR="002D4B0F" w:rsidRPr="008724CD" w:rsidRDefault="00EB6695" w:rsidP="00E916B2">
    <w:pPr>
      <w:spacing w:before="960" w:after="0"/>
      <w:jc w:val="right"/>
      <w:rPr>
        <w:sz w:val="20"/>
        <w:szCs w:val="20"/>
      </w:rPr>
    </w:pPr>
    <w:r>
      <w:rPr>
        <w:sz w:val="20"/>
        <w:szCs w:val="20"/>
      </w:rPr>
      <w:t>November</w:t>
    </w:r>
    <w:r w:rsidR="00AC3485">
      <w:rPr>
        <w:sz w:val="20"/>
        <w:szCs w:val="20"/>
      </w:rPr>
      <w:t xml:space="preserve"> </w:t>
    </w:r>
    <w:r w:rsidR="002D4B0F" w:rsidRPr="008724CD">
      <w:rPr>
        <w:sz w:val="20"/>
        <w:szCs w:val="20"/>
      </w:rPr>
      <w:t>20</w:t>
    </w:r>
    <w:r w:rsidR="009D6980">
      <w:rPr>
        <w:sz w:val="20"/>
        <w:szCs w:val="20"/>
      </w:rPr>
      <w:t>21</w:t>
    </w:r>
    <w:r w:rsidR="002D4B0F" w:rsidRPr="008724CD">
      <w:rPr>
        <w:sz w:val="20"/>
        <w:szCs w:val="20"/>
      </w:rPr>
      <w:t xml:space="preserve">, Seite </w:t>
    </w:r>
    <w:r w:rsidR="002D4B0F" w:rsidRPr="008724CD">
      <w:rPr>
        <w:rStyle w:val="Seitenzahl"/>
        <w:rFonts w:cs="Arial"/>
        <w:sz w:val="20"/>
        <w:szCs w:val="20"/>
      </w:rPr>
      <w:fldChar w:fldCharType="begin"/>
    </w:r>
    <w:r w:rsidR="002D4B0F" w:rsidRPr="008724CD">
      <w:rPr>
        <w:rStyle w:val="Seitenzahl"/>
        <w:rFonts w:cs="Arial"/>
        <w:sz w:val="20"/>
        <w:szCs w:val="20"/>
      </w:rPr>
      <w:instrText xml:space="preserve"> PAGE </w:instrText>
    </w:r>
    <w:r w:rsidR="002D4B0F" w:rsidRPr="008724CD">
      <w:rPr>
        <w:rStyle w:val="Seitenzahl"/>
        <w:rFonts w:cs="Arial"/>
        <w:sz w:val="20"/>
        <w:szCs w:val="20"/>
      </w:rPr>
      <w:fldChar w:fldCharType="separate"/>
    </w:r>
    <w:r w:rsidR="009F727A">
      <w:rPr>
        <w:rStyle w:val="Seitenzahl"/>
        <w:rFonts w:cs="Arial"/>
        <w:noProof/>
        <w:sz w:val="20"/>
        <w:szCs w:val="20"/>
      </w:rPr>
      <w:t>2</w:t>
    </w:r>
    <w:r w:rsidR="002D4B0F" w:rsidRPr="008724CD">
      <w:rPr>
        <w:rStyle w:val="Seitenzahl"/>
        <w:rFonts w:cs="Arial"/>
        <w:sz w:val="20"/>
        <w:szCs w:val="20"/>
      </w:rPr>
      <w:fldChar w:fldCharType="end"/>
    </w:r>
    <w:r w:rsidR="002D4B0F">
      <w:rPr>
        <w:rStyle w:val="Seitenzahl"/>
        <w:rFonts w:cs="Arial"/>
        <w:szCs w:val="20"/>
      </w:rPr>
      <w:t xml:space="preserve"> /</w:t>
    </w:r>
    <w:r w:rsidR="002D4B0F" w:rsidRPr="008724CD">
      <w:rPr>
        <w:rStyle w:val="Seitenzahl"/>
        <w:rFonts w:cs="Arial"/>
        <w:sz w:val="20"/>
        <w:szCs w:val="20"/>
      </w:rPr>
      <w:t xml:space="preserve"> </w:t>
    </w:r>
    <w:r w:rsidR="002D4B0F" w:rsidRPr="008724CD">
      <w:rPr>
        <w:rStyle w:val="Seitenzahl"/>
        <w:rFonts w:cs="Arial"/>
        <w:sz w:val="20"/>
        <w:szCs w:val="20"/>
      </w:rPr>
      <w:fldChar w:fldCharType="begin"/>
    </w:r>
    <w:r w:rsidR="002D4B0F" w:rsidRPr="008724CD">
      <w:rPr>
        <w:rStyle w:val="Seitenzahl"/>
        <w:rFonts w:cs="Arial"/>
        <w:sz w:val="20"/>
        <w:szCs w:val="20"/>
      </w:rPr>
      <w:instrText xml:space="preserve"> NUMPAGES </w:instrText>
    </w:r>
    <w:r w:rsidR="002D4B0F" w:rsidRPr="008724CD">
      <w:rPr>
        <w:rStyle w:val="Seitenzahl"/>
        <w:rFonts w:cs="Arial"/>
        <w:sz w:val="20"/>
        <w:szCs w:val="20"/>
      </w:rPr>
      <w:fldChar w:fldCharType="separate"/>
    </w:r>
    <w:r w:rsidR="009F727A">
      <w:rPr>
        <w:rStyle w:val="Seitenzahl"/>
        <w:rFonts w:cs="Arial"/>
        <w:noProof/>
        <w:sz w:val="20"/>
        <w:szCs w:val="20"/>
      </w:rPr>
      <w:t>2</w:t>
    </w:r>
    <w:r w:rsidR="002D4B0F" w:rsidRPr="008724CD">
      <w:rPr>
        <w:rStyle w:val="Seitenzahl"/>
        <w:rFonts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6428"/>
    <w:multiLevelType w:val="hybridMultilevel"/>
    <w:tmpl w:val="59DCEA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E5C30"/>
    <w:multiLevelType w:val="hybridMultilevel"/>
    <w:tmpl w:val="D86EA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80460"/>
    <w:multiLevelType w:val="hybridMultilevel"/>
    <w:tmpl w:val="22545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575E2"/>
    <w:multiLevelType w:val="hybridMultilevel"/>
    <w:tmpl w:val="7BC828F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CD"/>
    <w:rsid w:val="000009CD"/>
    <w:rsid w:val="00005DCD"/>
    <w:rsid w:val="00011E09"/>
    <w:rsid w:val="0002075C"/>
    <w:rsid w:val="00032286"/>
    <w:rsid w:val="000413B8"/>
    <w:rsid w:val="00041E42"/>
    <w:rsid w:val="00043736"/>
    <w:rsid w:val="0004673F"/>
    <w:rsid w:val="00051796"/>
    <w:rsid w:val="00057C84"/>
    <w:rsid w:val="000638D6"/>
    <w:rsid w:val="00066487"/>
    <w:rsid w:val="00066CE9"/>
    <w:rsid w:val="00074EF3"/>
    <w:rsid w:val="00080992"/>
    <w:rsid w:val="00087C42"/>
    <w:rsid w:val="00092A8B"/>
    <w:rsid w:val="000941AB"/>
    <w:rsid w:val="00095E68"/>
    <w:rsid w:val="000A5AAB"/>
    <w:rsid w:val="000B2F09"/>
    <w:rsid w:val="000B503C"/>
    <w:rsid w:val="000C0421"/>
    <w:rsid w:val="000C0B44"/>
    <w:rsid w:val="000C493C"/>
    <w:rsid w:val="000D0E71"/>
    <w:rsid w:val="000D3604"/>
    <w:rsid w:val="000E0627"/>
    <w:rsid w:val="000E33BF"/>
    <w:rsid w:val="000F47DF"/>
    <w:rsid w:val="0010083A"/>
    <w:rsid w:val="001029FF"/>
    <w:rsid w:val="00103964"/>
    <w:rsid w:val="0010677D"/>
    <w:rsid w:val="00112F82"/>
    <w:rsid w:val="001133CA"/>
    <w:rsid w:val="0011357B"/>
    <w:rsid w:val="00120248"/>
    <w:rsid w:val="001515D9"/>
    <w:rsid w:val="00161256"/>
    <w:rsid w:val="001626B5"/>
    <w:rsid w:val="00165EB6"/>
    <w:rsid w:val="00171C59"/>
    <w:rsid w:val="001848F2"/>
    <w:rsid w:val="001A06E0"/>
    <w:rsid w:val="001A1AC4"/>
    <w:rsid w:val="001A5D69"/>
    <w:rsid w:val="001A675A"/>
    <w:rsid w:val="001B1FE1"/>
    <w:rsid w:val="001C002A"/>
    <w:rsid w:val="001C392A"/>
    <w:rsid w:val="001D3386"/>
    <w:rsid w:val="001E30C2"/>
    <w:rsid w:val="001F7888"/>
    <w:rsid w:val="001F7C54"/>
    <w:rsid w:val="00207B86"/>
    <w:rsid w:val="002111DB"/>
    <w:rsid w:val="0021432E"/>
    <w:rsid w:val="0022477A"/>
    <w:rsid w:val="002278FB"/>
    <w:rsid w:val="00233422"/>
    <w:rsid w:val="00247A17"/>
    <w:rsid w:val="00251543"/>
    <w:rsid w:val="00257727"/>
    <w:rsid w:val="00265BFC"/>
    <w:rsid w:val="00265C1B"/>
    <w:rsid w:val="00285D1B"/>
    <w:rsid w:val="002915D3"/>
    <w:rsid w:val="00291911"/>
    <w:rsid w:val="002A3208"/>
    <w:rsid w:val="002B316A"/>
    <w:rsid w:val="002C38B2"/>
    <w:rsid w:val="002C578E"/>
    <w:rsid w:val="002C645D"/>
    <w:rsid w:val="002C657D"/>
    <w:rsid w:val="002C6A12"/>
    <w:rsid w:val="002D0838"/>
    <w:rsid w:val="002D4B0F"/>
    <w:rsid w:val="002D714D"/>
    <w:rsid w:val="002F5307"/>
    <w:rsid w:val="00300B8D"/>
    <w:rsid w:val="0031148D"/>
    <w:rsid w:val="00313819"/>
    <w:rsid w:val="00314E5F"/>
    <w:rsid w:val="00320915"/>
    <w:rsid w:val="003278B6"/>
    <w:rsid w:val="00334162"/>
    <w:rsid w:val="003422C3"/>
    <w:rsid w:val="00345E9D"/>
    <w:rsid w:val="0035647F"/>
    <w:rsid w:val="00363572"/>
    <w:rsid w:val="00363621"/>
    <w:rsid w:val="0036435F"/>
    <w:rsid w:val="003656CB"/>
    <w:rsid w:val="003763FD"/>
    <w:rsid w:val="00384A80"/>
    <w:rsid w:val="003903A2"/>
    <w:rsid w:val="0039405C"/>
    <w:rsid w:val="00394315"/>
    <w:rsid w:val="0039679B"/>
    <w:rsid w:val="003A04E2"/>
    <w:rsid w:val="003A05CA"/>
    <w:rsid w:val="003A12F0"/>
    <w:rsid w:val="003A7145"/>
    <w:rsid w:val="003C5F38"/>
    <w:rsid w:val="003D0A01"/>
    <w:rsid w:val="003D21C9"/>
    <w:rsid w:val="003E3053"/>
    <w:rsid w:val="003E3AB4"/>
    <w:rsid w:val="003F4FD3"/>
    <w:rsid w:val="003F500A"/>
    <w:rsid w:val="00401EA3"/>
    <w:rsid w:val="00403516"/>
    <w:rsid w:val="00414064"/>
    <w:rsid w:val="00432158"/>
    <w:rsid w:val="0043366B"/>
    <w:rsid w:val="0044125F"/>
    <w:rsid w:val="00441BB6"/>
    <w:rsid w:val="004422F4"/>
    <w:rsid w:val="004524BB"/>
    <w:rsid w:val="0045659D"/>
    <w:rsid w:val="00456E1A"/>
    <w:rsid w:val="00461933"/>
    <w:rsid w:val="00463FD7"/>
    <w:rsid w:val="004641BD"/>
    <w:rsid w:val="00470CE5"/>
    <w:rsid w:val="00475235"/>
    <w:rsid w:val="004848E3"/>
    <w:rsid w:val="004953AC"/>
    <w:rsid w:val="004A58A3"/>
    <w:rsid w:val="004C4600"/>
    <w:rsid w:val="004F26B0"/>
    <w:rsid w:val="00514B8B"/>
    <w:rsid w:val="00523FC3"/>
    <w:rsid w:val="00527457"/>
    <w:rsid w:val="0053567D"/>
    <w:rsid w:val="0054456C"/>
    <w:rsid w:val="005459AC"/>
    <w:rsid w:val="0055232C"/>
    <w:rsid w:val="005652E3"/>
    <w:rsid w:val="00571925"/>
    <w:rsid w:val="005744D9"/>
    <w:rsid w:val="00576A13"/>
    <w:rsid w:val="005805F6"/>
    <w:rsid w:val="00586079"/>
    <w:rsid w:val="00592331"/>
    <w:rsid w:val="00595949"/>
    <w:rsid w:val="00595EB4"/>
    <w:rsid w:val="005A73D9"/>
    <w:rsid w:val="005A78DA"/>
    <w:rsid w:val="005B4513"/>
    <w:rsid w:val="005C010F"/>
    <w:rsid w:val="005C0ADD"/>
    <w:rsid w:val="005C289C"/>
    <w:rsid w:val="005C6C0A"/>
    <w:rsid w:val="005C6EE2"/>
    <w:rsid w:val="005D4D23"/>
    <w:rsid w:val="005D65C3"/>
    <w:rsid w:val="005D666E"/>
    <w:rsid w:val="005E1DF2"/>
    <w:rsid w:val="005E490F"/>
    <w:rsid w:val="005F16B8"/>
    <w:rsid w:val="0060311C"/>
    <w:rsid w:val="00603C38"/>
    <w:rsid w:val="00621FE0"/>
    <w:rsid w:val="00634655"/>
    <w:rsid w:val="006347E7"/>
    <w:rsid w:val="00636ADF"/>
    <w:rsid w:val="00637BC9"/>
    <w:rsid w:val="00641966"/>
    <w:rsid w:val="006424D4"/>
    <w:rsid w:val="00651080"/>
    <w:rsid w:val="006517EB"/>
    <w:rsid w:val="006555D2"/>
    <w:rsid w:val="00663149"/>
    <w:rsid w:val="0067629E"/>
    <w:rsid w:val="0068294C"/>
    <w:rsid w:val="006835E7"/>
    <w:rsid w:val="006977ED"/>
    <w:rsid w:val="006A26D9"/>
    <w:rsid w:val="006A2AB7"/>
    <w:rsid w:val="006A3981"/>
    <w:rsid w:val="006B1E62"/>
    <w:rsid w:val="006B33E7"/>
    <w:rsid w:val="006B5723"/>
    <w:rsid w:val="006B59E5"/>
    <w:rsid w:val="006C2144"/>
    <w:rsid w:val="006D0858"/>
    <w:rsid w:val="006D3C51"/>
    <w:rsid w:val="006D7570"/>
    <w:rsid w:val="006D7BE8"/>
    <w:rsid w:val="006E2CD1"/>
    <w:rsid w:val="00703E18"/>
    <w:rsid w:val="00711B80"/>
    <w:rsid w:val="00714351"/>
    <w:rsid w:val="007148FE"/>
    <w:rsid w:val="00716FE5"/>
    <w:rsid w:val="00721542"/>
    <w:rsid w:val="007264AD"/>
    <w:rsid w:val="00730C33"/>
    <w:rsid w:val="00746910"/>
    <w:rsid w:val="007636D6"/>
    <w:rsid w:val="00770CC5"/>
    <w:rsid w:val="00773738"/>
    <w:rsid w:val="00790BEC"/>
    <w:rsid w:val="0079168B"/>
    <w:rsid w:val="007A037D"/>
    <w:rsid w:val="007A2004"/>
    <w:rsid w:val="007A331A"/>
    <w:rsid w:val="007A3D54"/>
    <w:rsid w:val="007C337B"/>
    <w:rsid w:val="007D5E9F"/>
    <w:rsid w:val="007E7A90"/>
    <w:rsid w:val="007E7E77"/>
    <w:rsid w:val="007F4ABA"/>
    <w:rsid w:val="007F4B05"/>
    <w:rsid w:val="007F5B5C"/>
    <w:rsid w:val="007F6D7F"/>
    <w:rsid w:val="008007DE"/>
    <w:rsid w:val="008062D5"/>
    <w:rsid w:val="00807570"/>
    <w:rsid w:val="008424F9"/>
    <w:rsid w:val="008512E3"/>
    <w:rsid w:val="00855FE3"/>
    <w:rsid w:val="00857F05"/>
    <w:rsid w:val="00865ED3"/>
    <w:rsid w:val="008724CD"/>
    <w:rsid w:val="00883EEF"/>
    <w:rsid w:val="0089331D"/>
    <w:rsid w:val="008A0F61"/>
    <w:rsid w:val="008A28BB"/>
    <w:rsid w:val="008A5296"/>
    <w:rsid w:val="008B6C8C"/>
    <w:rsid w:val="008B7387"/>
    <w:rsid w:val="008D6F37"/>
    <w:rsid w:val="008E6F64"/>
    <w:rsid w:val="008F72F6"/>
    <w:rsid w:val="00900160"/>
    <w:rsid w:val="009012CA"/>
    <w:rsid w:val="00902DD5"/>
    <w:rsid w:val="00906216"/>
    <w:rsid w:val="00913D35"/>
    <w:rsid w:val="009204AD"/>
    <w:rsid w:val="00933635"/>
    <w:rsid w:val="00956FC1"/>
    <w:rsid w:val="00960B4D"/>
    <w:rsid w:val="009674FE"/>
    <w:rsid w:val="0097356D"/>
    <w:rsid w:val="00974D73"/>
    <w:rsid w:val="00975654"/>
    <w:rsid w:val="00975F80"/>
    <w:rsid w:val="00977990"/>
    <w:rsid w:val="009802C6"/>
    <w:rsid w:val="00982B1D"/>
    <w:rsid w:val="009857DE"/>
    <w:rsid w:val="009A0086"/>
    <w:rsid w:val="009A6EBE"/>
    <w:rsid w:val="009B1036"/>
    <w:rsid w:val="009B161D"/>
    <w:rsid w:val="009B3DB2"/>
    <w:rsid w:val="009B5901"/>
    <w:rsid w:val="009B5A34"/>
    <w:rsid w:val="009B7359"/>
    <w:rsid w:val="009C242A"/>
    <w:rsid w:val="009C4389"/>
    <w:rsid w:val="009C44DB"/>
    <w:rsid w:val="009D027A"/>
    <w:rsid w:val="009D3F1C"/>
    <w:rsid w:val="009D6980"/>
    <w:rsid w:val="009E1EE9"/>
    <w:rsid w:val="009F0706"/>
    <w:rsid w:val="009F1362"/>
    <w:rsid w:val="009F3172"/>
    <w:rsid w:val="009F4253"/>
    <w:rsid w:val="009F4BD8"/>
    <w:rsid w:val="009F69B3"/>
    <w:rsid w:val="009F727A"/>
    <w:rsid w:val="00A0177E"/>
    <w:rsid w:val="00A032D0"/>
    <w:rsid w:val="00A03906"/>
    <w:rsid w:val="00A04FE0"/>
    <w:rsid w:val="00A059B0"/>
    <w:rsid w:val="00A05B6C"/>
    <w:rsid w:val="00A10EA9"/>
    <w:rsid w:val="00A158C4"/>
    <w:rsid w:val="00A202A2"/>
    <w:rsid w:val="00A24A3B"/>
    <w:rsid w:val="00A255B6"/>
    <w:rsid w:val="00A26C9C"/>
    <w:rsid w:val="00A4412C"/>
    <w:rsid w:val="00A604E4"/>
    <w:rsid w:val="00A61C7F"/>
    <w:rsid w:val="00A70F8E"/>
    <w:rsid w:val="00A8664A"/>
    <w:rsid w:val="00A93156"/>
    <w:rsid w:val="00A9382E"/>
    <w:rsid w:val="00A9470B"/>
    <w:rsid w:val="00A96339"/>
    <w:rsid w:val="00A97390"/>
    <w:rsid w:val="00AB3142"/>
    <w:rsid w:val="00AB34EE"/>
    <w:rsid w:val="00AB4C0A"/>
    <w:rsid w:val="00AB792F"/>
    <w:rsid w:val="00AC07F1"/>
    <w:rsid w:val="00AC3485"/>
    <w:rsid w:val="00AC5DDF"/>
    <w:rsid w:val="00AC7B35"/>
    <w:rsid w:val="00AD58A2"/>
    <w:rsid w:val="00AF0BD3"/>
    <w:rsid w:val="00B01D32"/>
    <w:rsid w:val="00B12B50"/>
    <w:rsid w:val="00B17FFC"/>
    <w:rsid w:val="00B20E36"/>
    <w:rsid w:val="00B24A36"/>
    <w:rsid w:val="00B31185"/>
    <w:rsid w:val="00B32A25"/>
    <w:rsid w:val="00B33FDF"/>
    <w:rsid w:val="00B37109"/>
    <w:rsid w:val="00B4193F"/>
    <w:rsid w:val="00B44F77"/>
    <w:rsid w:val="00B46D7D"/>
    <w:rsid w:val="00B51A3C"/>
    <w:rsid w:val="00B557E9"/>
    <w:rsid w:val="00B55DB0"/>
    <w:rsid w:val="00B57620"/>
    <w:rsid w:val="00B6197C"/>
    <w:rsid w:val="00B65F15"/>
    <w:rsid w:val="00B6670C"/>
    <w:rsid w:val="00B67E7A"/>
    <w:rsid w:val="00B700B7"/>
    <w:rsid w:val="00B7500A"/>
    <w:rsid w:val="00B87930"/>
    <w:rsid w:val="00B9159F"/>
    <w:rsid w:val="00B94CD7"/>
    <w:rsid w:val="00BA38F3"/>
    <w:rsid w:val="00BC07F4"/>
    <w:rsid w:val="00BC26C8"/>
    <w:rsid w:val="00BC2F2C"/>
    <w:rsid w:val="00BC4120"/>
    <w:rsid w:val="00BC7D6F"/>
    <w:rsid w:val="00BD12FC"/>
    <w:rsid w:val="00BD389B"/>
    <w:rsid w:val="00BD47E0"/>
    <w:rsid w:val="00BE43B8"/>
    <w:rsid w:val="00BF0A4F"/>
    <w:rsid w:val="00BF3DDA"/>
    <w:rsid w:val="00BF7E4D"/>
    <w:rsid w:val="00C03E2B"/>
    <w:rsid w:val="00C069D1"/>
    <w:rsid w:val="00C12596"/>
    <w:rsid w:val="00C169C9"/>
    <w:rsid w:val="00C16D86"/>
    <w:rsid w:val="00C30B1C"/>
    <w:rsid w:val="00C32525"/>
    <w:rsid w:val="00C33D2B"/>
    <w:rsid w:val="00C34C0E"/>
    <w:rsid w:val="00C473E1"/>
    <w:rsid w:val="00C4772C"/>
    <w:rsid w:val="00C51EF8"/>
    <w:rsid w:val="00C64DFE"/>
    <w:rsid w:val="00C666E5"/>
    <w:rsid w:val="00C7740A"/>
    <w:rsid w:val="00C774CA"/>
    <w:rsid w:val="00C80F73"/>
    <w:rsid w:val="00C81F36"/>
    <w:rsid w:val="00C87DE7"/>
    <w:rsid w:val="00C920DC"/>
    <w:rsid w:val="00C941D3"/>
    <w:rsid w:val="00C9564A"/>
    <w:rsid w:val="00CA4097"/>
    <w:rsid w:val="00CA4578"/>
    <w:rsid w:val="00CB0AC9"/>
    <w:rsid w:val="00CB2FF5"/>
    <w:rsid w:val="00CC59D4"/>
    <w:rsid w:val="00CD31E2"/>
    <w:rsid w:val="00CD3207"/>
    <w:rsid w:val="00CD44B2"/>
    <w:rsid w:val="00CD7111"/>
    <w:rsid w:val="00CE537B"/>
    <w:rsid w:val="00D05163"/>
    <w:rsid w:val="00D06560"/>
    <w:rsid w:val="00D1151E"/>
    <w:rsid w:val="00D30B57"/>
    <w:rsid w:val="00D3151F"/>
    <w:rsid w:val="00D3534B"/>
    <w:rsid w:val="00D463F6"/>
    <w:rsid w:val="00D510F9"/>
    <w:rsid w:val="00D61F17"/>
    <w:rsid w:val="00D6230D"/>
    <w:rsid w:val="00D623B2"/>
    <w:rsid w:val="00D63809"/>
    <w:rsid w:val="00D743A8"/>
    <w:rsid w:val="00D80942"/>
    <w:rsid w:val="00D857A7"/>
    <w:rsid w:val="00D9160D"/>
    <w:rsid w:val="00D93B2E"/>
    <w:rsid w:val="00DA0B84"/>
    <w:rsid w:val="00DA5453"/>
    <w:rsid w:val="00DB71A4"/>
    <w:rsid w:val="00DB76FB"/>
    <w:rsid w:val="00DC56C4"/>
    <w:rsid w:val="00DD14C6"/>
    <w:rsid w:val="00DD7959"/>
    <w:rsid w:val="00DE053E"/>
    <w:rsid w:val="00DE2E12"/>
    <w:rsid w:val="00DE3851"/>
    <w:rsid w:val="00DE7DEB"/>
    <w:rsid w:val="00DF49EF"/>
    <w:rsid w:val="00E0540F"/>
    <w:rsid w:val="00E1116B"/>
    <w:rsid w:val="00E15831"/>
    <w:rsid w:val="00E209FC"/>
    <w:rsid w:val="00E243D3"/>
    <w:rsid w:val="00E30A1C"/>
    <w:rsid w:val="00E348DA"/>
    <w:rsid w:val="00E368EE"/>
    <w:rsid w:val="00E37DA3"/>
    <w:rsid w:val="00E56A55"/>
    <w:rsid w:val="00E63B9E"/>
    <w:rsid w:val="00E77686"/>
    <w:rsid w:val="00E850F9"/>
    <w:rsid w:val="00E859BC"/>
    <w:rsid w:val="00E916B2"/>
    <w:rsid w:val="00E95E5C"/>
    <w:rsid w:val="00EA300E"/>
    <w:rsid w:val="00EB037E"/>
    <w:rsid w:val="00EB04F3"/>
    <w:rsid w:val="00EB527B"/>
    <w:rsid w:val="00EB6695"/>
    <w:rsid w:val="00EC39DF"/>
    <w:rsid w:val="00EC4E58"/>
    <w:rsid w:val="00ED3903"/>
    <w:rsid w:val="00ED40DC"/>
    <w:rsid w:val="00ED6485"/>
    <w:rsid w:val="00F00E07"/>
    <w:rsid w:val="00F0199D"/>
    <w:rsid w:val="00F07C26"/>
    <w:rsid w:val="00F14772"/>
    <w:rsid w:val="00F20446"/>
    <w:rsid w:val="00F222A4"/>
    <w:rsid w:val="00F24FA1"/>
    <w:rsid w:val="00F2529C"/>
    <w:rsid w:val="00F26480"/>
    <w:rsid w:val="00F27FFB"/>
    <w:rsid w:val="00F305E9"/>
    <w:rsid w:val="00F3514B"/>
    <w:rsid w:val="00F45C21"/>
    <w:rsid w:val="00F500CC"/>
    <w:rsid w:val="00F501A7"/>
    <w:rsid w:val="00F510CD"/>
    <w:rsid w:val="00F63138"/>
    <w:rsid w:val="00F6726A"/>
    <w:rsid w:val="00F7169F"/>
    <w:rsid w:val="00F7264B"/>
    <w:rsid w:val="00F74CDD"/>
    <w:rsid w:val="00F80F5A"/>
    <w:rsid w:val="00F844A4"/>
    <w:rsid w:val="00F84943"/>
    <w:rsid w:val="00F84EF0"/>
    <w:rsid w:val="00F86840"/>
    <w:rsid w:val="00F86EF1"/>
    <w:rsid w:val="00FB7300"/>
    <w:rsid w:val="00FB7AF8"/>
    <w:rsid w:val="00FC5648"/>
    <w:rsid w:val="00FD3D08"/>
    <w:rsid w:val="00FE67B3"/>
    <w:rsid w:val="00FF649D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00F42E"/>
  <w15:docId w15:val="{D89C4BE9-3C13-437A-91A4-80351EBE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382E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3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6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6E0"/>
  </w:style>
  <w:style w:type="paragraph" w:styleId="Fuzeile">
    <w:name w:val="footer"/>
    <w:basedOn w:val="Standard"/>
    <w:link w:val="FuzeileZchn"/>
    <w:uiPriority w:val="99"/>
    <w:unhideWhenUsed/>
    <w:rsid w:val="001A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6E0"/>
  </w:style>
  <w:style w:type="paragraph" w:styleId="KeinLeerraum">
    <w:name w:val="No Spacing"/>
    <w:uiPriority w:val="1"/>
    <w:qFormat/>
    <w:rsid w:val="001A06E0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382E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styleId="Seitenzahl">
    <w:name w:val="page number"/>
    <w:basedOn w:val="Absatz-Standardschriftart"/>
    <w:rsid w:val="008724CD"/>
  </w:style>
  <w:style w:type="paragraph" w:customStyle="1" w:styleId="EinfAbs">
    <w:name w:val="[Einf. Abs.]"/>
    <w:basedOn w:val="Standard"/>
    <w:uiPriority w:val="99"/>
    <w:rsid w:val="00A938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9382E"/>
    <w:pPr>
      <w:spacing w:before="120" w:after="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382E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Hyperlink">
    <w:name w:val="Hyperlink"/>
    <w:semiHidden/>
    <w:rsid w:val="00A9382E"/>
    <w:rPr>
      <w:color w:val="0000FF"/>
      <w:u w:val="single"/>
    </w:rPr>
  </w:style>
  <w:style w:type="paragraph" w:styleId="Textkrper3">
    <w:name w:val="Body Text 3"/>
    <w:link w:val="Textkrper3Zchn"/>
    <w:semiHidden/>
    <w:unhideWhenUsed/>
    <w:rsid w:val="00DD14C6"/>
    <w:pPr>
      <w:spacing w:after="120"/>
    </w:pPr>
    <w:rPr>
      <w:rFonts w:ascii="Arial" w:eastAsia="Arial Unicode MS" w:hAnsi="Arial" w:cs="Arial Unicode MS"/>
      <w:color w:val="000000"/>
      <w:sz w:val="16"/>
      <w:szCs w:val="16"/>
      <w:u w:color="00000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DD14C6"/>
    <w:rPr>
      <w:rFonts w:ascii="Arial" w:eastAsia="Arial Unicode MS" w:hAnsi="Arial" w:cs="Arial Unicode MS"/>
      <w:color w:val="000000"/>
      <w:sz w:val="16"/>
      <w:szCs w:val="16"/>
      <w:u w:color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5B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B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B6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5B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5B6C"/>
    <w:rPr>
      <w:rFonts w:ascii="Arial" w:hAnsi="Arial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F501A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501A7"/>
  </w:style>
  <w:style w:type="paragraph" w:styleId="berarbeitung">
    <w:name w:val="Revision"/>
    <w:hidden/>
    <w:uiPriority w:val="99"/>
    <w:semiHidden/>
    <w:rsid w:val="00334162"/>
    <w:pPr>
      <w:spacing w:after="0" w:line="240" w:lineRule="auto"/>
    </w:pPr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A158C4"/>
    <w:pPr>
      <w:ind w:left="720"/>
      <w:contextualSpacing/>
    </w:pPr>
    <w:rPr>
      <w:rFonts w:asciiTheme="minorHAnsi" w:hAnsiTheme="minorHAnsi"/>
      <w:sz w:val="22"/>
    </w:rPr>
  </w:style>
  <w:style w:type="paragraph" w:customStyle="1" w:styleId="paragraph">
    <w:name w:val="paragraph"/>
    <w:basedOn w:val="Standard"/>
    <w:rsid w:val="00EB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EB037E"/>
  </w:style>
  <w:style w:type="character" w:customStyle="1" w:styleId="eop">
    <w:name w:val="eop"/>
    <w:basedOn w:val="Absatz-Standardschriftart"/>
    <w:rsid w:val="00EB037E"/>
  </w:style>
  <w:style w:type="character" w:customStyle="1" w:styleId="spellingerror">
    <w:name w:val="spellingerror"/>
    <w:basedOn w:val="Absatz-Standardschriftart"/>
    <w:rsid w:val="00EB037E"/>
  </w:style>
  <w:style w:type="paragraph" w:styleId="StandardWeb">
    <w:name w:val="Normal (Web)"/>
    <w:basedOn w:val="Standard"/>
    <w:uiPriority w:val="99"/>
    <w:unhideWhenUsed/>
    <w:rsid w:val="00EB6695"/>
    <w:pPr>
      <w:spacing w:before="100" w:beforeAutospacing="1" w:after="100" w:afterAutospacing="1" w:line="240" w:lineRule="auto"/>
    </w:pPr>
    <w:rPr>
      <w:rFonts w:ascii="Calibri" w:hAnsi="Calibri" w:cs="Calibri"/>
      <w:sz w:val="22"/>
      <w:u w:color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R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tlef.Sieverdingbeck@HARTING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FC22-0551-40EE-BF32-CD23D053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HARTING KGaA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Klose, Michael</dc:creator>
  <cp:lastModifiedBy>Kuehme, Lars</cp:lastModifiedBy>
  <cp:revision>19</cp:revision>
  <cp:lastPrinted>2018-07-18T05:51:00Z</cp:lastPrinted>
  <dcterms:created xsi:type="dcterms:W3CDTF">2021-03-22T10:55:00Z</dcterms:created>
  <dcterms:modified xsi:type="dcterms:W3CDTF">2021-11-19T09:02:00Z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156776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D7.0.3</vt:lpwstr>
  </property>
</Properties>
</file>