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16CD" w14:textId="4291D9CF" w:rsidR="00FE0515" w:rsidRPr="00CA1B5A" w:rsidRDefault="009B6720" w:rsidP="00FE0515">
      <w:pPr>
        <w:pStyle w:val="KeinLeerraum"/>
        <w:rPr>
          <w:b/>
          <w:bCs/>
          <w:lang w:val="en-GB"/>
        </w:rPr>
      </w:pPr>
      <w:r w:rsidRPr="009B6720">
        <w:rPr>
          <w:b/>
          <w:bCs/>
          <w:sz w:val="24"/>
          <w:szCs w:val="24"/>
          <w:lang w:val="en-GB"/>
        </w:rPr>
        <w:t>Han</w:t>
      </w:r>
      <w:r w:rsidR="00FE0515">
        <w:rPr>
          <w:b/>
          <w:bCs/>
          <w:sz w:val="24"/>
          <w:szCs w:val="24"/>
          <w:lang w:val="en-GB"/>
        </w:rPr>
        <w:t>-</w:t>
      </w:r>
      <w:r w:rsidR="00256EDD">
        <w:rPr>
          <w:b/>
          <w:bCs/>
          <w:sz w:val="24"/>
          <w:szCs w:val="24"/>
          <w:lang w:val="en-GB"/>
        </w:rPr>
        <w:t>Modular</w:t>
      </w:r>
      <w:r w:rsidRPr="009B6720">
        <w:rPr>
          <w:b/>
          <w:bCs/>
          <w:sz w:val="24"/>
          <w:szCs w:val="24"/>
          <w:lang w:val="en-GB"/>
        </w:rPr>
        <w:t>®</w:t>
      </w:r>
      <w:r w:rsidR="00256EDD">
        <w:rPr>
          <w:b/>
          <w:bCs/>
          <w:sz w:val="24"/>
          <w:szCs w:val="24"/>
          <w:lang w:val="en-GB"/>
        </w:rPr>
        <w:t xml:space="preserve"> Domino Modules</w:t>
      </w:r>
      <w:r w:rsidRPr="009B6720">
        <w:rPr>
          <w:b/>
          <w:bCs/>
          <w:sz w:val="24"/>
          <w:szCs w:val="24"/>
          <w:lang w:val="en-GB"/>
        </w:rPr>
        <w:t xml:space="preserve"> </w:t>
      </w:r>
    </w:p>
    <w:p w14:paraId="53F0AAE7" w14:textId="77777777" w:rsidR="00256EDD" w:rsidRPr="00256EDD" w:rsidRDefault="00256EDD" w:rsidP="00256EDD">
      <w:pPr>
        <w:pStyle w:val="KeinLeerraum"/>
        <w:rPr>
          <w:sz w:val="24"/>
          <w:szCs w:val="24"/>
          <w:lang w:val="en-GB"/>
        </w:rPr>
      </w:pPr>
      <w:r w:rsidRPr="00256EDD">
        <w:rPr>
          <w:sz w:val="24"/>
          <w:szCs w:val="24"/>
          <w:lang w:val="en-GB"/>
        </w:rPr>
        <w:t>The next level of modular industrial connectors</w:t>
      </w:r>
    </w:p>
    <w:p w14:paraId="08BDD6F9" w14:textId="70279E63" w:rsidR="000E2743" w:rsidRPr="00325948" w:rsidRDefault="000E2743" w:rsidP="000E2743">
      <w:pPr>
        <w:rPr>
          <w:rFonts w:eastAsiaTheme="majorEastAsia" w:cstheme="majorBidi"/>
          <w:b/>
          <w:bCs/>
          <w:szCs w:val="28"/>
          <w:lang w:val="en-GB"/>
        </w:rPr>
      </w:pPr>
    </w:p>
    <w:p w14:paraId="4A964A1C" w14:textId="054694F7" w:rsidR="00256EDD" w:rsidRPr="00256EDD" w:rsidRDefault="000E2743" w:rsidP="00256EDD">
      <w:pPr>
        <w:pStyle w:val="KeinLeerraum"/>
        <w:spacing w:line="360" w:lineRule="auto"/>
        <w:rPr>
          <w:b/>
          <w:bCs/>
          <w:sz w:val="24"/>
          <w:szCs w:val="24"/>
          <w:lang w:val="en-GB"/>
        </w:rPr>
      </w:pPr>
      <w:r w:rsidRPr="009B6720">
        <w:rPr>
          <w:rFonts w:eastAsiaTheme="majorEastAsia" w:cstheme="majorBidi"/>
          <w:b/>
          <w:bCs/>
          <w:sz w:val="24"/>
          <w:szCs w:val="24"/>
          <w:lang w:val="en-US"/>
        </w:rPr>
        <w:t>Espelkamp</w:t>
      </w:r>
      <w:r w:rsidR="00325948" w:rsidRPr="009B6720">
        <w:rPr>
          <w:rFonts w:eastAsiaTheme="majorEastAsia" w:cstheme="majorBidi"/>
          <w:b/>
          <w:bCs/>
          <w:sz w:val="24"/>
          <w:szCs w:val="24"/>
          <w:lang w:val="en-US"/>
        </w:rPr>
        <w:t xml:space="preserve"> / Hanover</w:t>
      </w:r>
      <w:r w:rsidR="009B6720">
        <w:rPr>
          <w:rFonts w:eastAsiaTheme="majorEastAsia" w:cstheme="majorBidi"/>
          <w:b/>
          <w:bCs/>
          <w:sz w:val="24"/>
          <w:szCs w:val="24"/>
          <w:lang w:val="en-US"/>
        </w:rPr>
        <w:t>,</w:t>
      </w:r>
      <w:r w:rsidRPr="009B6720">
        <w:rPr>
          <w:rFonts w:eastAsiaTheme="majorEastAsia" w:cstheme="majorBidi"/>
          <w:b/>
          <w:bCs/>
          <w:sz w:val="24"/>
          <w:szCs w:val="24"/>
          <w:lang w:val="en-US"/>
        </w:rPr>
        <w:t xml:space="preserve"> </w:t>
      </w:r>
      <w:r w:rsidR="00325948" w:rsidRPr="009B6720">
        <w:rPr>
          <w:rFonts w:eastAsiaTheme="majorEastAsia" w:cstheme="majorBidi"/>
          <w:b/>
          <w:bCs/>
          <w:sz w:val="24"/>
          <w:szCs w:val="24"/>
          <w:lang w:val="en-US"/>
        </w:rPr>
        <w:t>30</w:t>
      </w:r>
      <w:r w:rsidRPr="009B6720">
        <w:rPr>
          <w:rFonts w:eastAsiaTheme="majorEastAsia" w:cstheme="majorBidi"/>
          <w:b/>
          <w:bCs/>
          <w:sz w:val="24"/>
          <w:szCs w:val="24"/>
          <w:lang w:val="en-US"/>
        </w:rPr>
        <w:t xml:space="preserve"> May 2022 - </w:t>
      </w:r>
      <w:r w:rsidR="00256EDD" w:rsidRPr="00256EDD">
        <w:rPr>
          <w:b/>
          <w:bCs/>
          <w:sz w:val="24"/>
          <w:szCs w:val="24"/>
          <w:lang w:val="en-GB"/>
        </w:rPr>
        <w:t>HARTING has accompanied and supported industrial transformation for more than 70 years. At present the challenges are different, but the foundation for today’s industrial transformation is formed by basic technologies such as interfaces for the transmission of power, data and signals. HARTING is therefore launching the Han-Modular® Domino Modules, which will take the world of modular industrial connectors to the next level. They open up new possibilities for optimisation, including space and weight savings of up to 50 %, thus reducing the CO</w:t>
      </w:r>
      <w:r w:rsidR="00256EDD" w:rsidRPr="00256EDD">
        <w:rPr>
          <w:b/>
          <w:bCs/>
          <w:sz w:val="24"/>
          <w:szCs w:val="24"/>
          <w:vertAlign w:val="subscript"/>
          <w:lang w:val="en-GB"/>
        </w:rPr>
        <w:t>2</w:t>
      </w:r>
      <w:r w:rsidR="00256EDD" w:rsidRPr="00256EDD">
        <w:rPr>
          <w:b/>
          <w:bCs/>
          <w:sz w:val="24"/>
          <w:szCs w:val="24"/>
          <w:lang w:val="en-GB"/>
        </w:rPr>
        <w:t xml:space="preserve"> footprint. The product also convinced the jury of this year’s HERMES Award. The Han-Modular® Domino </w:t>
      </w:r>
      <w:r w:rsidR="00256EDD">
        <w:rPr>
          <w:b/>
          <w:bCs/>
          <w:sz w:val="24"/>
          <w:szCs w:val="24"/>
          <w:lang w:val="en-GB"/>
        </w:rPr>
        <w:t>M</w:t>
      </w:r>
      <w:r w:rsidR="00256EDD" w:rsidRPr="00256EDD">
        <w:rPr>
          <w:b/>
          <w:bCs/>
          <w:sz w:val="24"/>
          <w:szCs w:val="24"/>
          <w:lang w:val="en-GB"/>
        </w:rPr>
        <w:t>odules were selected as one of the Top 3 Innovations of 2022.</w:t>
      </w:r>
    </w:p>
    <w:p w14:paraId="02A5E8C5" w14:textId="77777777" w:rsidR="00256EDD" w:rsidRPr="00256EDD" w:rsidRDefault="00256EDD" w:rsidP="00256EDD">
      <w:pPr>
        <w:pStyle w:val="KeinLeerraum"/>
        <w:spacing w:line="360" w:lineRule="auto"/>
        <w:rPr>
          <w:sz w:val="24"/>
          <w:szCs w:val="24"/>
          <w:lang w:val="en-GB"/>
        </w:rPr>
      </w:pPr>
    </w:p>
    <w:p w14:paraId="31DF83D1" w14:textId="77777777" w:rsidR="00256EDD" w:rsidRPr="00256EDD" w:rsidRDefault="00256EDD" w:rsidP="00256EDD">
      <w:pPr>
        <w:pStyle w:val="KeinLeerraum"/>
        <w:spacing w:line="360" w:lineRule="auto"/>
        <w:rPr>
          <w:sz w:val="24"/>
          <w:szCs w:val="24"/>
          <w:lang w:val="en-GB"/>
        </w:rPr>
      </w:pPr>
      <w:r w:rsidRPr="00256EDD">
        <w:rPr>
          <w:sz w:val="24"/>
          <w:szCs w:val="24"/>
          <w:lang w:val="en-GB"/>
        </w:rPr>
        <w:t>Just as a domino has two separate squares, a Domino Module is composed of two “cubes”. The standard Han-Modular® mating face is split into two almost square surfaces, in which even larger contacts can be accommodated. The cubes support the configuration of customized connectors that are precisely tailored to the requirements of a design. Power, signal and data or compressed air as well as male and female contacts can be combined in one module. Overall, the number of required interfaces per unit is reduced. The connection technology becomes smaller and more lightweight as more modules and module types than before fit into one connector.</w:t>
      </w:r>
    </w:p>
    <w:p w14:paraId="66D0AFE2" w14:textId="77777777" w:rsidR="00256EDD" w:rsidRPr="00256EDD" w:rsidRDefault="00256EDD" w:rsidP="00256EDD">
      <w:pPr>
        <w:pStyle w:val="KeinLeerraum"/>
        <w:spacing w:line="360" w:lineRule="auto"/>
        <w:rPr>
          <w:sz w:val="24"/>
          <w:szCs w:val="24"/>
          <w:lang w:val="en-GB"/>
        </w:rPr>
      </w:pPr>
    </w:p>
    <w:p w14:paraId="6EF86277" w14:textId="77777777" w:rsidR="00256EDD" w:rsidRPr="00256EDD" w:rsidRDefault="00256EDD" w:rsidP="00256EDD">
      <w:pPr>
        <w:pStyle w:val="KeinLeerraum"/>
        <w:spacing w:line="360" w:lineRule="auto"/>
        <w:rPr>
          <w:sz w:val="24"/>
          <w:szCs w:val="24"/>
          <w:lang w:val="en-GB"/>
        </w:rPr>
      </w:pPr>
      <w:r w:rsidRPr="00256EDD">
        <w:rPr>
          <w:sz w:val="24"/>
          <w:szCs w:val="24"/>
          <w:lang w:val="en-GB"/>
        </w:rPr>
        <w:t>HARTING designates products that adapt to social megatrends such as sustainability and demographic change as “Connectivity+”. The Domino Modules are among them, because they help to reduce costs in the assembly and operation of machines and systems and save resources. This applies both to production – manufacturing smaller components uses less material and energy – and transport, which benefits from the space and weight savings as well as more flexibility. Individual assemblies can also be reused, improving sustainability.</w:t>
      </w:r>
    </w:p>
    <w:p w14:paraId="343A17A6" w14:textId="49E6689D" w:rsidR="00FE0515" w:rsidRPr="00256EDD" w:rsidRDefault="00FE0515" w:rsidP="00256EDD">
      <w:pPr>
        <w:pStyle w:val="KeinLeerraum"/>
        <w:spacing w:line="360" w:lineRule="auto"/>
        <w:rPr>
          <w:sz w:val="24"/>
          <w:szCs w:val="24"/>
          <w:lang w:val="en-GB"/>
        </w:rPr>
      </w:pPr>
    </w:p>
    <w:p w14:paraId="54F9B1F4" w14:textId="33A9FC32" w:rsidR="007573EE" w:rsidRPr="00256EDD" w:rsidRDefault="007573EE" w:rsidP="00256EDD">
      <w:pPr>
        <w:pStyle w:val="KeinLeerraum"/>
        <w:spacing w:line="360" w:lineRule="auto"/>
        <w:rPr>
          <w:b/>
          <w:bCs/>
          <w:sz w:val="24"/>
          <w:szCs w:val="24"/>
          <w:lang w:val="en-GB"/>
        </w:rPr>
      </w:pPr>
    </w:p>
    <w:p w14:paraId="77197202" w14:textId="77777777" w:rsidR="00256EDD" w:rsidRDefault="00256EDD" w:rsidP="00256EDD">
      <w:r>
        <w:rPr>
          <w:noProof/>
        </w:rPr>
        <w:lastRenderedPageBreak/>
        <w:drawing>
          <wp:inline distT="0" distB="0" distL="0" distR="0" wp14:anchorId="6AC7ECE2" wp14:editId="12D77A63">
            <wp:extent cx="3685540" cy="1906270"/>
            <wp:effectExtent l="0" t="0" r="10160" b="177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685540" cy="1906270"/>
                    </a:xfrm>
                    <a:prstGeom prst="rect">
                      <a:avLst/>
                    </a:prstGeom>
                    <a:noFill/>
                    <a:ln>
                      <a:noFill/>
                    </a:ln>
                  </pic:spPr>
                </pic:pic>
              </a:graphicData>
            </a:graphic>
          </wp:inline>
        </w:drawing>
      </w:r>
    </w:p>
    <w:p w14:paraId="2637A5D9" w14:textId="421831B3" w:rsidR="00256EDD" w:rsidRPr="00256EDD" w:rsidRDefault="00256EDD" w:rsidP="00256EDD">
      <w:pPr>
        <w:rPr>
          <w:b/>
          <w:bCs/>
          <w:szCs w:val="24"/>
          <w:lang w:val="en-US"/>
        </w:rPr>
      </w:pPr>
      <w:r w:rsidRPr="00256EDD">
        <w:rPr>
          <w:b/>
          <w:bCs/>
          <w:szCs w:val="24"/>
          <w:lang w:val="en-GB"/>
        </w:rPr>
        <w:t xml:space="preserve">Caption: </w:t>
      </w:r>
      <w:r w:rsidRPr="00256EDD">
        <w:rPr>
          <w:szCs w:val="24"/>
          <w:lang w:val="en-GB"/>
        </w:rPr>
        <w:t xml:space="preserve">Modular Han® B housing; instead of 4 conventional modules, there is now space for 8 Domino </w:t>
      </w:r>
      <w:r w:rsidR="0017272D">
        <w:rPr>
          <w:szCs w:val="24"/>
          <w:lang w:val="en-GB"/>
        </w:rPr>
        <w:t>c</w:t>
      </w:r>
      <w:r w:rsidRPr="00256EDD">
        <w:rPr>
          <w:szCs w:val="24"/>
          <w:lang w:val="en-GB"/>
        </w:rPr>
        <w:t>ubes</w:t>
      </w:r>
      <w:r w:rsidRPr="00256EDD">
        <w:rPr>
          <w:szCs w:val="24"/>
          <w:lang w:val="en-US"/>
        </w:rPr>
        <w:t>.</w:t>
      </w:r>
    </w:p>
    <w:p w14:paraId="3FE237B2" w14:textId="77777777" w:rsidR="00256EDD" w:rsidRPr="00256EDD" w:rsidRDefault="00256EDD" w:rsidP="00256EDD">
      <w:pPr>
        <w:rPr>
          <w:i/>
          <w:iCs/>
          <w:szCs w:val="24"/>
          <w:lang w:val="en-US" w:eastAsia="de-DE"/>
        </w:rPr>
      </w:pPr>
    </w:p>
    <w:p w14:paraId="647F748A" w14:textId="77777777" w:rsidR="00256EDD" w:rsidRDefault="00256EDD" w:rsidP="00256EDD">
      <w:pPr>
        <w:rPr>
          <w:i/>
          <w:iCs/>
          <w:szCs w:val="24"/>
        </w:rPr>
      </w:pPr>
      <w:r>
        <w:rPr>
          <w:noProof/>
        </w:rPr>
        <w:drawing>
          <wp:inline distT="0" distB="0" distL="0" distR="0" wp14:anchorId="6F7EEB2C" wp14:editId="7310F490">
            <wp:extent cx="2687955" cy="1274445"/>
            <wp:effectExtent l="0" t="0" r="17145" b="1905"/>
            <wp:docPr id="2" name="Grafik 2" descr="Ein Bild, das Kuchen, Elektronik, Buchse, Adap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 Bild, das Kuchen, Elektronik, Buchse, Adapter enthält.&#10;&#10;Automatisch generierte Beschreibu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87955" cy="1274445"/>
                    </a:xfrm>
                    <a:prstGeom prst="rect">
                      <a:avLst/>
                    </a:prstGeom>
                    <a:noFill/>
                    <a:ln>
                      <a:noFill/>
                    </a:ln>
                  </pic:spPr>
                </pic:pic>
              </a:graphicData>
            </a:graphic>
          </wp:inline>
        </w:drawing>
      </w:r>
    </w:p>
    <w:p w14:paraId="08A6B9EA" w14:textId="321E8CBB" w:rsidR="00256EDD" w:rsidRPr="00256EDD" w:rsidRDefault="00256EDD" w:rsidP="00256EDD">
      <w:pPr>
        <w:rPr>
          <w:szCs w:val="24"/>
          <w:lang w:val="en-US"/>
        </w:rPr>
      </w:pPr>
      <w:r w:rsidRPr="00256EDD">
        <w:rPr>
          <w:b/>
          <w:bCs/>
          <w:szCs w:val="24"/>
          <w:lang w:val="en-GB"/>
        </w:rPr>
        <w:t xml:space="preserve">Caption: </w:t>
      </w:r>
      <w:r w:rsidRPr="00256EDD">
        <w:rPr>
          <w:szCs w:val="24"/>
          <w:lang w:val="en-GB"/>
        </w:rPr>
        <w:t>Customised Domino Modules: Signal contacts can be combined with M12 data transmission (up to10 Gbit/s) to save space</w:t>
      </w:r>
      <w:r>
        <w:rPr>
          <w:szCs w:val="24"/>
          <w:lang w:val="en-GB"/>
        </w:rPr>
        <w:t>.</w:t>
      </w:r>
    </w:p>
    <w:p w14:paraId="7F36E912" w14:textId="77777777" w:rsidR="00256EDD" w:rsidRPr="00256EDD" w:rsidRDefault="00256EDD" w:rsidP="00256EDD">
      <w:pPr>
        <w:rPr>
          <w:i/>
          <w:iCs/>
          <w:szCs w:val="24"/>
          <w:lang w:val="en-US"/>
        </w:rPr>
      </w:pPr>
    </w:p>
    <w:p w14:paraId="7898580A" w14:textId="77777777" w:rsidR="00256EDD" w:rsidRDefault="00256EDD" w:rsidP="00256EDD">
      <w:pPr>
        <w:rPr>
          <w:i/>
          <w:iCs/>
          <w:strike/>
          <w:szCs w:val="24"/>
        </w:rPr>
      </w:pPr>
      <w:r>
        <w:rPr>
          <w:noProof/>
        </w:rPr>
        <w:drawing>
          <wp:inline distT="0" distB="0" distL="0" distR="0" wp14:anchorId="6C8322A2" wp14:editId="7DD49776">
            <wp:extent cx="4588510" cy="1884045"/>
            <wp:effectExtent l="0" t="0" r="254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588510" cy="1884045"/>
                    </a:xfrm>
                    <a:prstGeom prst="rect">
                      <a:avLst/>
                    </a:prstGeom>
                    <a:noFill/>
                    <a:ln>
                      <a:noFill/>
                    </a:ln>
                  </pic:spPr>
                </pic:pic>
              </a:graphicData>
            </a:graphic>
          </wp:inline>
        </w:drawing>
      </w:r>
    </w:p>
    <w:p w14:paraId="07766542" w14:textId="6787890B" w:rsidR="00256EDD" w:rsidRPr="00256EDD" w:rsidRDefault="00256EDD" w:rsidP="00256EDD">
      <w:pPr>
        <w:rPr>
          <w:strike/>
          <w:szCs w:val="24"/>
          <w:lang w:val="en-US"/>
        </w:rPr>
      </w:pPr>
      <w:r w:rsidRPr="00256EDD">
        <w:rPr>
          <w:b/>
          <w:bCs/>
          <w:szCs w:val="24"/>
          <w:lang w:val="en-GB"/>
        </w:rPr>
        <w:t xml:space="preserve">Caption: </w:t>
      </w:r>
      <w:r w:rsidRPr="00256EDD">
        <w:rPr>
          <w:szCs w:val="24"/>
          <w:lang w:val="en-GB"/>
        </w:rPr>
        <w:t>Different transmission media types such as compressed air (blue module) and power/signals can be combined in one module, forming hybrid inter</w:t>
      </w:r>
      <w:r>
        <w:rPr>
          <w:szCs w:val="24"/>
          <w:lang w:val="en-GB"/>
        </w:rPr>
        <w:t xml:space="preserve">faces. </w:t>
      </w:r>
    </w:p>
    <w:p w14:paraId="64173E8F" w14:textId="77777777" w:rsidR="00256EDD" w:rsidRPr="00256EDD" w:rsidRDefault="00256EDD" w:rsidP="00256EDD">
      <w:pPr>
        <w:pStyle w:val="KeinLeerraum"/>
        <w:rPr>
          <w:lang w:val="en-US"/>
        </w:rPr>
      </w:pPr>
    </w:p>
    <w:p w14:paraId="4B92C258" w14:textId="134538BA" w:rsidR="00A42284" w:rsidRPr="007573EE" w:rsidRDefault="00A42284" w:rsidP="009B6720">
      <w:pPr>
        <w:pStyle w:val="KeinLeerraum"/>
        <w:spacing w:line="360" w:lineRule="auto"/>
        <w:rPr>
          <w:rFonts w:eastAsiaTheme="majorEastAsia" w:cstheme="majorBidi"/>
          <w:b/>
          <w:bCs/>
          <w:sz w:val="24"/>
          <w:szCs w:val="24"/>
          <w:lang w:val="en-GB"/>
        </w:rPr>
      </w:pPr>
    </w:p>
    <w:p w14:paraId="3E9F2B8B" w14:textId="77777777" w:rsidR="00A42284" w:rsidRPr="00A80E28" w:rsidRDefault="00A42284" w:rsidP="00A42284">
      <w:pPr>
        <w:rPr>
          <w:rFonts w:eastAsiaTheme="majorEastAsia" w:cstheme="majorBidi"/>
          <w:b/>
          <w:bCs/>
          <w:szCs w:val="28"/>
          <w:lang w:val="en-US"/>
        </w:rPr>
      </w:pPr>
    </w:p>
    <w:p w14:paraId="47BDC833" w14:textId="77777777" w:rsidR="00780EAC" w:rsidRDefault="00780EAC" w:rsidP="00780EAC">
      <w:pPr>
        <w:rPr>
          <w:rFonts w:eastAsiaTheme="majorEastAsia" w:cs="Arial"/>
          <w:b/>
          <w:bCs/>
          <w:szCs w:val="24"/>
          <w:lang w:val="en-US"/>
        </w:rPr>
      </w:pPr>
      <w:r>
        <w:rPr>
          <w:rFonts w:cs="Arial"/>
          <w:szCs w:val="24"/>
          <w:lang w:val="en-US"/>
        </w:rPr>
        <w:t>You also find the press release here:</w:t>
      </w:r>
      <w:r>
        <w:rPr>
          <w:rFonts w:cs="Arial"/>
          <w:szCs w:val="24"/>
          <w:lang w:val="en-US"/>
        </w:rPr>
        <w:br/>
      </w:r>
      <w:hyperlink r:id="rId13" w:tgtFrame="_blank" w:tooltip="https://www.har.com/de/en-gb/news/press-release" w:history="1">
        <w:r>
          <w:rPr>
            <w:rStyle w:val="Hyperlink"/>
            <w:rFonts w:cs="Arial"/>
            <w:color w:val="4F52B2"/>
            <w:szCs w:val="24"/>
            <w:shd w:val="clear" w:color="auto" w:fill="FFFFFF"/>
            <w:lang w:val="en-US"/>
          </w:rPr>
          <w:t>www.HARTING.com/DE/en-gb/news/press-release</w:t>
        </w:r>
      </w:hyperlink>
    </w:p>
    <w:p w14:paraId="4947E9EC" w14:textId="6DD571E7" w:rsidR="00EA1179" w:rsidRPr="000E2743" w:rsidRDefault="00EA1179" w:rsidP="00A42284">
      <w:pPr>
        <w:rPr>
          <w:rFonts w:eastAsiaTheme="majorEastAsia" w:cstheme="majorBidi"/>
          <w:b/>
          <w:bCs/>
          <w:szCs w:val="28"/>
          <w:lang w:val="en-US"/>
        </w:rPr>
      </w:pPr>
      <w:r w:rsidRPr="000E2743">
        <w:rPr>
          <w:rFonts w:eastAsiaTheme="majorEastAsia" w:cstheme="majorBidi"/>
          <w:b/>
          <w:bCs/>
          <w:szCs w:val="28"/>
          <w:lang w:val="en-US"/>
        </w:rPr>
        <w:t>About HARTING:</w:t>
      </w:r>
    </w:p>
    <w:p w14:paraId="66E5D53A" w14:textId="77777777" w:rsidR="00EA1179" w:rsidRPr="000E2743" w:rsidRDefault="00EA1179" w:rsidP="00EA1179">
      <w:pPr>
        <w:rPr>
          <w:rFonts w:eastAsiaTheme="majorEastAsia" w:cstheme="majorBidi"/>
          <w:szCs w:val="28"/>
          <w:lang w:val="en-US"/>
        </w:rPr>
      </w:pPr>
      <w:r w:rsidRPr="000E2743">
        <w:rPr>
          <w:rFonts w:eastAsiaTheme="majorEastAsia" w:cstheme="majorBidi"/>
          <w:szCs w:val="28"/>
          <w:lang w:val="en-US"/>
        </w:rP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1A3211C0" w14:textId="0634ECFE" w:rsidR="00EA1179" w:rsidRDefault="00EA1179" w:rsidP="00EA1179">
      <w:pPr>
        <w:rPr>
          <w:rFonts w:eastAsiaTheme="majorEastAsia" w:cstheme="majorBidi"/>
          <w:b/>
          <w:bCs/>
          <w:szCs w:val="28"/>
          <w:lang w:val="en-US"/>
        </w:rPr>
      </w:pPr>
    </w:p>
    <w:p w14:paraId="0576B51E" w14:textId="53B763AC" w:rsidR="000E2743" w:rsidRPr="000E2743" w:rsidRDefault="000E2743" w:rsidP="000E2743">
      <w:pPr>
        <w:rPr>
          <w:rFonts w:eastAsiaTheme="majorEastAsia" w:cstheme="majorBidi"/>
          <w:b/>
          <w:bCs/>
          <w:szCs w:val="28"/>
          <w:lang w:val="en-US"/>
        </w:rPr>
      </w:pPr>
      <w:r w:rsidRPr="000E2743">
        <w:rPr>
          <w:rFonts w:eastAsiaTheme="majorEastAsia" w:cstheme="majorBidi"/>
          <w:b/>
          <w:bCs/>
          <w:szCs w:val="28"/>
          <w:lang w:val="en-US"/>
        </w:rPr>
        <w:t>Contact:</w:t>
      </w:r>
    </w:p>
    <w:p w14:paraId="360EEA62" w14:textId="77777777" w:rsidR="000E2743" w:rsidRPr="000E2743" w:rsidRDefault="000E2743" w:rsidP="000E2743">
      <w:pPr>
        <w:pStyle w:val="KeinLeerraum"/>
        <w:rPr>
          <w:lang w:val="en-US"/>
        </w:rPr>
      </w:pPr>
      <w:r w:rsidRPr="000E2743">
        <w:rPr>
          <w:lang w:val="en-US"/>
        </w:rPr>
        <w:t>HARTING Stiftung &amp; Co. KG</w:t>
      </w:r>
    </w:p>
    <w:p w14:paraId="75428B10" w14:textId="77777777" w:rsidR="000E2743" w:rsidRPr="000E2743" w:rsidRDefault="000E2743" w:rsidP="000E2743">
      <w:pPr>
        <w:pStyle w:val="KeinLeerraum"/>
        <w:rPr>
          <w:lang w:val="en-US"/>
        </w:rPr>
      </w:pPr>
      <w:r w:rsidRPr="000E2743">
        <w:rPr>
          <w:lang w:val="en-US"/>
        </w:rPr>
        <w:t>Detlef Sieverdingbeck</w:t>
      </w:r>
    </w:p>
    <w:p w14:paraId="14DDE05F" w14:textId="77777777" w:rsidR="000E2743" w:rsidRPr="000E2743" w:rsidRDefault="000E2743" w:rsidP="000E2743">
      <w:pPr>
        <w:pStyle w:val="KeinLeerraum"/>
        <w:rPr>
          <w:lang w:val="en-US"/>
        </w:rPr>
      </w:pPr>
      <w:r w:rsidRPr="000E2743">
        <w:rPr>
          <w:lang w:val="en-US"/>
        </w:rPr>
        <w:t>General Manager</w:t>
      </w:r>
    </w:p>
    <w:p w14:paraId="1EF56438" w14:textId="77777777" w:rsidR="000E2743" w:rsidRPr="000E2743" w:rsidRDefault="000E2743" w:rsidP="000E2743">
      <w:pPr>
        <w:pStyle w:val="KeinLeerraum"/>
        <w:rPr>
          <w:lang w:val="en-US"/>
        </w:rPr>
      </w:pPr>
      <w:r w:rsidRPr="000E2743">
        <w:rPr>
          <w:lang w:val="en-US"/>
        </w:rPr>
        <w:t>Corporate Communication &amp; Branding (CCB)</w:t>
      </w:r>
    </w:p>
    <w:p w14:paraId="47128BAA" w14:textId="77777777" w:rsidR="000E2743" w:rsidRPr="000E2743" w:rsidRDefault="000E2743" w:rsidP="000E2743">
      <w:pPr>
        <w:pStyle w:val="KeinLeerraum"/>
      </w:pPr>
      <w:r w:rsidRPr="000E2743">
        <w:t>Marienwerderstr. 3</w:t>
      </w:r>
    </w:p>
    <w:p w14:paraId="2D84D200" w14:textId="77777777" w:rsidR="000E2743" w:rsidRPr="00256EDD" w:rsidRDefault="000E2743" w:rsidP="000E2743">
      <w:pPr>
        <w:pStyle w:val="KeinLeerraum"/>
        <w:rPr>
          <w:lang w:val="en-US"/>
        </w:rPr>
      </w:pPr>
      <w:r w:rsidRPr="00256EDD">
        <w:rPr>
          <w:lang w:val="en-US"/>
        </w:rPr>
        <w:t>32339 Espelkamp - Germany</w:t>
      </w:r>
    </w:p>
    <w:p w14:paraId="5B790A4A" w14:textId="77777777" w:rsidR="000E2743" w:rsidRPr="00256EDD" w:rsidRDefault="000E2743" w:rsidP="000E2743">
      <w:pPr>
        <w:pStyle w:val="KeinLeerraum"/>
        <w:rPr>
          <w:lang w:val="en-US"/>
        </w:rPr>
      </w:pPr>
      <w:r w:rsidRPr="00256EDD">
        <w:rPr>
          <w:lang w:val="en-US"/>
        </w:rPr>
        <w:t>Tel.: +49 5772 47-244</w:t>
      </w:r>
    </w:p>
    <w:p w14:paraId="4D8C8CE0" w14:textId="77777777" w:rsidR="000E2743" w:rsidRPr="00256EDD" w:rsidRDefault="000E2743" w:rsidP="000E2743">
      <w:pPr>
        <w:pStyle w:val="KeinLeerraum"/>
        <w:rPr>
          <w:lang w:val="en-US"/>
        </w:rPr>
      </w:pPr>
      <w:r w:rsidRPr="00256EDD">
        <w:rPr>
          <w:lang w:val="en-US"/>
        </w:rPr>
        <w:t>Fax: +49 5772 47-400</w:t>
      </w:r>
    </w:p>
    <w:p w14:paraId="24055EF8" w14:textId="77777777" w:rsidR="000E2743" w:rsidRPr="00256EDD" w:rsidRDefault="000E2743" w:rsidP="000E2743">
      <w:pPr>
        <w:pStyle w:val="KeinLeerraum"/>
        <w:rPr>
          <w:lang w:val="en-US"/>
        </w:rPr>
      </w:pPr>
      <w:r w:rsidRPr="00256EDD">
        <w:rPr>
          <w:lang w:val="en-US"/>
        </w:rPr>
        <w:t>Detlef.Sieverdingbeck@HARTING.com</w:t>
      </w:r>
    </w:p>
    <w:p w14:paraId="7D1911A7" w14:textId="77777777" w:rsidR="000E2743" w:rsidRPr="00256EDD" w:rsidRDefault="000E2743" w:rsidP="000E2743">
      <w:pPr>
        <w:pStyle w:val="KeinLeerraum"/>
        <w:rPr>
          <w:lang w:val="en-US"/>
        </w:rPr>
      </w:pPr>
      <w:r w:rsidRPr="00256EDD">
        <w:rPr>
          <w:lang w:val="en-US"/>
        </w:rPr>
        <w:t>More information at: www.HARTING.com</w:t>
      </w:r>
    </w:p>
    <w:p w14:paraId="60CAE6A0" w14:textId="5031274F" w:rsidR="00B700B7" w:rsidRPr="00256EDD" w:rsidRDefault="00B700B7" w:rsidP="000E2743">
      <w:pPr>
        <w:rPr>
          <w:lang w:val="en-US"/>
        </w:rPr>
      </w:pPr>
    </w:p>
    <w:sectPr w:rsidR="00B700B7" w:rsidRPr="00256EDD" w:rsidSect="00E916B2">
      <w:headerReference w:type="even" r:id="rId14"/>
      <w:headerReference w:type="default" r:id="rId15"/>
      <w:footerReference w:type="even" r:id="rId16"/>
      <w:footerReference w:type="default" r:id="rId17"/>
      <w:headerReference w:type="first" r:id="rId18"/>
      <w:footerReference w:type="first" r:id="rId19"/>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32C2" w14:textId="77777777" w:rsidR="000E2743" w:rsidRDefault="000E27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521" w14:textId="77777777" w:rsidR="000E2743" w:rsidRDefault="000E27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FC0F" w14:textId="77777777" w:rsidR="000E2743" w:rsidRDefault="000E2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1ED4" w14:textId="77777777" w:rsidR="000E2743" w:rsidRDefault="000E27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40D5005A"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w:t>
    </w:r>
    <w:r w:rsidR="000E2743">
      <w:t xml:space="preserve"> Release</w:t>
    </w:r>
  </w:p>
  <w:p w14:paraId="0812DC40" w14:textId="0776FE80" w:rsidR="00E916B2" w:rsidRPr="008724CD" w:rsidRDefault="00D90328"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sidR="00B7697A">
      <w:rPr>
        <w:sz w:val="20"/>
        <w:szCs w:val="20"/>
      </w:rPr>
      <w:t>Ma</w:t>
    </w:r>
    <w:r w:rsidR="000E2743">
      <w:rPr>
        <w:sz w:val="20"/>
        <w:szCs w:val="20"/>
      </w:rPr>
      <w:t>y</w:t>
    </w:r>
    <w:r w:rsidR="00E916B2" w:rsidRPr="008724CD">
      <w:rPr>
        <w:sz w:val="20"/>
        <w:szCs w:val="20"/>
      </w:rPr>
      <w:t xml:space="preserve"> 20</w:t>
    </w:r>
    <w:r w:rsidR="00342E01">
      <w:rPr>
        <w:sz w:val="20"/>
        <w:szCs w:val="20"/>
      </w:rPr>
      <w:t>22</w:t>
    </w:r>
    <w:r w:rsidR="00E916B2" w:rsidRPr="008724CD">
      <w:rPr>
        <w:sz w:val="20"/>
        <w:szCs w:val="20"/>
      </w:rPr>
      <w:t xml:space="preserve">, </w:t>
    </w:r>
    <w:r w:rsidR="000E2743">
      <w:rPr>
        <w:sz w:val="20"/>
        <w:szCs w:val="20"/>
      </w:rPr>
      <w:t>Page</w:t>
    </w:r>
    <w:r w:rsidR="00E916B2" w:rsidRPr="008724CD">
      <w:rPr>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543" w14:textId="77777777" w:rsidR="000E2743" w:rsidRDefault="000E2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0CF"/>
    <w:multiLevelType w:val="hybridMultilevel"/>
    <w:tmpl w:val="B066ABE0"/>
    <w:lvl w:ilvl="0" w:tplc="55561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D904DD"/>
    <w:multiLevelType w:val="hybridMultilevel"/>
    <w:tmpl w:val="EA3A505E"/>
    <w:lvl w:ilvl="0" w:tplc="04070001">
      <w:start w:val="1"/>
      <w:numFmt w:val="bullet"/>
      <w:lvlText w:val=""/>
      <w:lvlJc w:val="left"/>
      <w:pPr>
        <w:ind w:left="720" w:hanging="360"/>
      </w:pPr>
      <w:rPr>
        <w:rFonts w:ascii="Symbol" w:hAnsi="Symbol" w:hint="default"/>
      </w:rPr>
    </w:lvl>
    <w:lvl w:ilvl="1" w:tplc="1F2AF9D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0E2743"/>
    <w:rsid w:val="00135716"/>
    <w:rsid w:val="00153480"/>
    <w:rsid w:val="0016795E"/>
    <w:rsid w:val="0017272D"/>
    <w:rsid w:val="001728A2"/>
    <w:rsid w:val="001A06E0"/>
    <w:rsid w:val="00230D79"/>
    <w:rsid w:val="00233626"/>
    <w:rsid w:val="00243E89"/>
    <w:rsid w:val="00256EDD"/>
    <w:rsid w:val="00283D3D"/>
    <w:rsid w:val="002C6681"/>
    <w:rsid w:val="002E1D89"/>
    <w:rsid w:val="00325948"/>
    <w:rsid w:val="00342E01"/>
    <w:rsid w:val="00347596"/>
    <w:rsid w:val="00380D56"/>
    <w:rsid w:val="003959D1"/>
    <w:rsid w:val="003A44D2"/>
    <w:rsid w:val="003F0395"/>
    <w:rsid w:val="00420117"/>
    <w:rsid w:val="004274A9"/>
    <w:rsid w:val="00433A93"/>
    <w:rsid w:val="00455AD0"/>
    <w:rsid w:val="004A2285"/>
    <w:rsid w:val="004F6E15"/>
    <w:rsid w:val="00564C64"/>
    <w:rsid w:val="0058083F"/>
    <w:rsid w:val="00584F63"/>
    <w:rsid w:val="00590046"/>
    <w:rsid w:val="00590E75"/>
    <w:rsid w:val="005C1D33"/>
    <w:rsid w:val="00603C38"/>
    <w:rsid w:val="00630947"/>
    <w:rsid w:val="00645B7C"/>
    <w:rsid w:val="0067123F"/>
    <w:rsid w:val="006977ED"/>
    <w:rsid w:val="006E10D1"/>
    <w:rsid w:val="006E6234"/>
    <w:rsid w:val="007154FF"/>
    <w:rsid w:val="007173F8"/>
    <w:rsid w:val="0072530A"/>
    <w:rsid w:val="007573EE"/>
    <w:rsid w:val="00780EAC"/>
    <w:rsid w:val="007D383C"/>
    <w:rsid w:val="007E395D"/>
    <w:rsid w:val="007F48A9"/>
    <w:rsid w:val="008254BA"/>
    <w:rsid w:val="008724CD"/>
    <w:rsid w:val="008E1E5D"/>
    <w:rsid w:val="008F76E9"/>
    <w:rsid w:val="0097141C"/>
    <w:rsid w:val="00982F8C"/>
    <w:rsid w:val="009B4E80"/>
    <w:rsid w:val="009B5901"/>
    <w:rsid w:val="009B6720"/>
    <w:rsid w:val="009E7F83"/>
    <w:rsid w:val="00A039CA"/>
    <w:rsid w:val="00A16F6E"/>
    <w:rsid w:val="00A42284"/>
    <w:rsid w:val="00A459B6"/>
    <w:rsid w:val="00A510E5"/>
    <w:rsid w:val="00A70207"/>
    <w:rsid w:val="00A80E28"/>
    <w:rsid w:val="00A9382E"/>
    <w:rsid w:val="00AC29E0"/>
    <w:rsid w:val="00AF24DD"/>
    <w:rsid w:val="00B14846"/>
    <w:rsid w:val="00B62205"/>
    <w:rsid w:val="00B700B7"/>
    <w:rsid w:val="00B7697A"/>
    <w:rsid w:val="00BE4801"/>
    <w:rsid w:val="00C03765"/>
    <w:rsid w:val="00C359AE"/>
    <w:rsid w:val="00C371D0"/>
    <w:rsid w:val="00C554AB"/>
    <w:rsid w:val="00C5603E"/>
    <w:rsid w:val="00C747EB"/>
    <w:rsid w:val="00C85E3E"/>
    <w:rsid w:val="00CA7FB1"/>
    <w:rsid w:val="00CE03A0"/>
    <w:rsid w:val="00CF6008"/>
    <w:rsid w:val="00D41C5F"/>
    <w:rsid w:val="00D90328"/>
    <w:rsid w:val="00D9716C"/>
    <w:rsid w:val="00D97E48"/>
    <w:rsid w:val="00DA0B0B"/>
    <w:rsid w:val="00DB256C"/>
    <w:rsid w:val="00E034EB"/>
    <w:rsid w:val="00E30B4A"/>
    <w:rsid w:val="00E77A69"/>
    <w:rsid w:val="00E916B2"/>
    <w:rsid w:val="00E92C7D"/>
    <w:rsid w:val="00EA1179"/>
    <w:rsid w:val="00EF21B8"/>
    <w:rsid w:val="00EF6C1E"/>
    <w:rsid w:val="00F44087"/>
    <w:rsid w:val="00F47541"/>
    <w:rsid w:val="00F57389"/>
    <w:rsid w:val="00F61B9E"/>
    <w:rsid w:val="00F80E51"/>
    <w:rsid w:val="00FD35EA"/>
    <w:rsid w:val="00FE05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7035">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7043.3A3B6380" TargetMode="External"/><Relationship Id="rId13" Type="http://schemas.openxmlformats.org/officeDocument/2006/relationships/hyperlink" Target="https://www.har.com/DE/en-gb/news/press-relea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cid:image003.png@01D87043.3A3B638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image002.png@01D87043.3A3B638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18</cp:revision>
  <cp:lastPrinted>2020-01-22T11:10:00Z</cp:lastPrinted>
  <dcterms:created xsi:type="dcterms:W3CDTF">2022-05-11T08:08:00Z</dcterms:created>
  <dcterms:modified xsi:type="dcterms:W3CDTF">2022-05-27T08:11:00Z</dcterms:modified>
  <cp:category>Vorlage</cp:category>
</cp:coreProperties>
</file>