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5853" w14:textId="2D085B35" w:rsidR="007B027B" w:rsidRDefault="007B027B" w:rsidP="00E01667">
      <w:pPr>
        <w:spacing w:line="360" w:lineRule="auto"/>
        <w:contextualSpacing/>
        <w:rPr>
          <w:b/>
          <w:bCs/>
        </w:rPr>
      </w:pPr>
      <w:bookmarkStart w:id="0" w:name="_Hlk134796266"/>
      <w:r>
        <w:rPr>
          <w:b/>
        </w:rPr>
        <w:t xml:space="preserve">Docking frame for flexible IP65/67 protected </w:t>
      </w:r>
      <w:r w:rsidR="007605BB">
        <w:rPr>
          <w:b/>
        </w:rPr>
        <w:t xml:space="preserve">machine </w:t>
      </w:r>
      <w:r>
        <w:rPr>
          <w:b/>
        </w:rPr>
        <w:t>connections</w:t>
      </w:r>
    </w:p>
    <w:p w14:paraId="3A8510F1" w14:textId="77777777" w:rsidR="007B027B" w:rsidRDefault="007B027B" w:rsidP="00E01667">
      <w:pPr>
        <w:spacing w:line="360" w:lineRule="auto"/>
        <w:contextualSpacing/>
        <w:rPr>
          <w:b/>
          <w:bCs/>
        </w:rPr>
      </w:pPr>
    </w:p>
    <w:p w14:paraId="065D1174" w14:textId="20E3C0B0" w:rsidR="007B027B" w:rsidRDefault="004C618D" w:rsidP="00E01667">
      <w:pPr>
        <w:spacing w:line="360" w:lineRule="auto"/>
        <w:contextualSpacing/>
        <w:rPr>
          <w:b/>
          <w:bCs/>
        </w:rPr>
      </w:pPr>
      <w:r>
        <w:rPr>
          <w:b/>
        </w:rPr>
        <w:t xml:space="preserve">Espelkamp, 14 November 2023 --- </w:t>
      </w:r>
      <w:bookmarkStart w:id="1" w:name="_Hlk144193155"/>
      <w:r>
        <w:rPr>
          <w:b/>
        </w:rPr>
        <w:t>HARTING is expanding its range of docking frames with IP65/67</w:t>
      </w:r>
      <w:r w:rsidR="00F979DF">
        <w:rPr>
          <w:b/>
        </w:rPr>
        <w:t xml:space="preserve"> </w:t>
      </w:r>
      <w:r>
        <w:rPr>
          <w:b/>
        </w:rPr>
        <w:t xml:space="preserve">protected solutions </w:t>
      </w:r>
      <w:r w:rsidR="00F40EAD">
        <w:rPr>
          <w:b/>
        </w:rPr>
        <w:t xml:space="preserve">available </w:t>
      </w:r>
      <w:r>
        <w:rPr>
          <w:b/>
        </w:rPr>
        <w:t xml:space="preserve">in the standard sizes for industrial connectors (6B to 24B). This allows machine modules </w:t>
      </w:r>
      <w:r w:rsidR="007605BB">
        <w:rPr>
          <w:b/>
        </w:rPr>
        <w:t xml:space="preserve">as well </w:t>
      </w:r>
      <w:r>
        <w:rPr>
          <w:b/>
        </w:rPr>
        <w:t>as tools to be docked automatically</w:t>
      </w:r>
      <w:r w:rsidR="00F40EAD">
        <w:rPr>
          <w:b/>
        </w:rPr>
        <w:t xml:space="preserve"> </w:t>
      </w:r>
      <w:r w:rsidR="00571429">
        <w:rPr>
          <w:b/>
        </w:rPr>
        <w:t>–</w:t>
      </w:r>
      <w:r w:rsidR="007605BB">
        <w:rPr>
          <w:b/>
        </w:rPr>
        <w:t xml:space="preserve"> and entirely tool-free. </w:t>
      </w:r>
      <w:r>
        <w:rPr>
          <w:b/>
        </w:rPr>
        <w:t xml:space="preserve">A plug-in process or even hard wiring including cables </w:t>
      </w:r>
      <w:r w:rsidR="00F40EAD">
        <w:rPr>
          <w:b/>
        </w:rPr>
        <w:t xml:space="preserve">can be dispensed with </w:t>
      </w:r>
      <w:r>
        <w:rPr>
          <w:b/>
        </w:rPr>
        <w:t xml:space="preserve">"blind </w:t>
      </w:r>
      <w:r w:rsidR="00F20616">
        <w:rPr>
          <w:b/>
        </w:rPr>
        <w:t>mating</w:t>
      </w:r>
      <w:r>
        <w:rPr>
          <w:b/>
        </w:rPr>
        <w:t>" option.</w:t>
      </w:r>
    </w:p>
    <w:p w14:paraId="4CEE049B" w14:textId="77777777" w:rsidR="007B027B" w:rsidRDefault="007B027B" w:rsidP="00E01667">
      <w:pPr>
        <w:spacing w:line="360" w:lineRule="auto"/>
        <w:contextualSpacing/>
        <w:rPr>
          <w:b/>
          <w:bCs/>
        </w:rPr>
      </w:pPr>
    </w:p>
    <w:p w14:paraId="521C53C5" w14:textId="2CA33E0D" w:rsidR="007B027B" w:rsidRDefault="007B027B" w:rsidP="007B027B">
      <w:pPr>
        <w:spacing w:line="360" w:lineRule="auto"/>
      </w:pPr>
      <w:r>
        <w:t>A floating side of the docking frame a</w:t>
      </w:r>
      <w:r w:rsidR="00F40EAD">
        <w:t xml:space="preserve">s well as </w:t>
      </w:r>
      <w:r>
        <w:t>guid</w:t>
      </w:r>
      <w:r w:rsidR="007605BB">
        <w:t xml:space="preserve">ing </w:t>
      </w:r>
      <w:r>
        <w:t xml:space="preserve">elements provide the necessary flexibility and safety during the plugging process. When docked, the two halves of the housing form an interface. The docking frame can compensate for a lateral offset of 1 mm, </w:t>
      </w:r>
      <w:r w:rsidR="00F40EAD">
        <w:t xml:space="preserve">while </w:t>
      </w:r>
      <w:r>
        <w:t xml:space="preserve">there is a clearance of 1.5 mm for </w:t>
      </w:r>
      <w:r w:rsidR="007605BB">
        <w:t xml:space="preserve">safe and </w:t>
      </w:r>
      <w:r>
        <w:t>secure mating</w:t>
      </w:r>
      <w:r w:rsidR="00F40EAD">
        <w:t xml:space="preserve"> in </w:t>
      </w:r>
      <w:r w:rsidR="007605BB">
        <w:t xml:space="preserve">the </w:t>
      </w:r>
      <w:r w:rsidR="00F40EAD">
        <w:t>axial direction</w:t>
      </w:r>
      <w:r>
        <w:t>. After execution, an IP65/67</w:t>
      </w:r>
      <w:r w:rsidR="00F979DF">
        <w:t xml:space="preserve"> </w:t>
      </w:r>
      <w:r>
        <w:t>protected connection is created between the seals on both sides.</w:t>
      </w:r>
    </w:p>
    <w:p w14:paraId="15FBE8F8" w14:textId="03FA2D93" w:rsidR="007B027B" w:rsidRDefault="007B027B" w:rsidP="007B027B">
      <w:pPr>
        <w:spacing w:line="360" w:lineRule="auto"/>
      </w:pPr>
      <w:r>
        <w:t xml:space="preserve">The IP65/67 docking frames can be used flexibly </w:t>
      </w:r>
      <w:r w:rsidR="00F40EAD">
        <w:t>with</w:t>
      </w:r>
      <w:r w:rsidR="00F40EAD">
        <w:rPr>
          <w:vertAlign w:val="superscript"/>
        </w:rPr>
        <w:t xml:space="preserve"> </w:t>
      </w:r>
      <w:r w:rsidR="00F40EAD" w:rsidRPr="00AE5868">
        <w:t>Han</w:t>
      </w:r>
      <w:r>
        <w:rPr>
          <w:vertAlign w:val="superscript"/>
        </w:rPr>
        <w:t>®</w:t>
      </w:r>
      <w:r>
        <w:t xml:space="preserve"> monoblocks and Han</w:t>
      </w:r>
      <w:r w:rsidR="00F979DF">
        <w:t>-M</w:t>
      </w:r>
      <w:r>
        <w:t>odular</w:t>
      </w:r>
      <w:r w:rsidR="00571429">
        <w:rPr>
          <w:vertAlign w:val="superscript"/>
        </w:rPr>
        <w:t>®</w:t>
      </w:r>
      <w:r>
        <w:t xml:space="preserve"> modules. </w:t>
      </w:r>
      <w:r w:rsidR="00DE4D6A">
        <w:t>Complete, a</w:t>
      </w:r>
      <w:r>
        <w:t xml:space="preserve">ll-round protection of the interfaces is achieved with </w:t>
      </w:r>
      <w:r w:rsidR="007605BB">
        <w:t xml:space="preserve">housings </w:t>
      </w:r>
      <w:r>
        <w:t>for rear mounting.</w:t>
      </w:r>
    </w:p>
    <w:p w14:paraId="7C6E8592" w14:textId="77777777" w:rsidR="007B027B" w:rsidRDefault="007B027B" w:rsidP="007B027B">
      <w:pPr>
        <w:spacing w:line="360" w:lineRule="auto"/>
      </w:pPr>
    </w:p>
    <w:p w14:paraId="7C2526EA" w14:textId="2C913663" w:rsidR="007B027B" w:rsidRPr="007B027B" w:rsidRDefault="007B027B" w:rsidP="007B027B">
      <w:pPr>
        <w:spacing w:line="360" w:lineRule="auto"/>
        <w:rPr>
          <w:b/>
          <w:bCs/>
        </w:rPr>
      </w:pPr>
      <w:r>
        <w:rPr>
          <w:b/>
        </w:rPr>
        <w:t>The advantages at a glance:</w:t>
      </w:r>
    </w:p>
    <w:p w14:paraId="3852E162" w14:textId="346D0D1E" w:rsidR="007B027B" w:rsidRDefault="002C3504" w:rsidP="007B027B">
      <w:pPr>
        <w:pStyle w:val="Listenabsatz"/>
        <w:numPr>
          <w:ilvl w:val="0"/>
          <w:numId w:val="22"/>
        </w:numPr>
        <w:spacing w:line="360" w:lineRule="auto"/>
      </w:pPr>
      <w:r>
        <w:t xml:space="preserve">Lower </w:t>
      </w:r>
      <w:r w:rsidR="007B027B">
        <w:t xml:space="preserve">production and installation costs </w:t>
      </w:r>
      <w:r w:rsidR="00540248">
        <w:t xml:space="preserve">thanks </w:t>
      </w:r>
      <w:r w:rsidR="007B027B">
        <w:t xml:space="preserve">to "blind </w:t>
      </w:r>
      <w:r w:rsidR="00F20616">
        <w:t>mating</w:t>
      </w:r>
      <w:r w:rsidR="007B027B">
        <w:t>" option</w:t>
      </w:r>
    </w:p>
    <w:p w14:paraId="5E9D4889" w14:textId="5755CFAA" w:rsidR="007B027B" w:rsidRDefault="007B027B" w:rsidP="007B027B">
      <w:pPr>
        <w:pStyle w:val="Listenabsatz"/>
        <w:numPr>
          <w:ilvl w:val="0"/>
          <w:numId w:val="22"/>
        </w:numPr>
        <w:spacing w:line="360" w:lineRule="auto"/>
      </w:pPr>
      <w:r>
        <w:t>Touch</w:t>
      </w:r>
      <w:r w:rsidR="00F979DF">
        <w:t xml:space="preserve"> </w:t>
      </w:r>
      <w:r>
        <w:t xml:space="preserve">safe contacts </w:t>
      </w:r>
      <w:r w:rsidR="00540248">
        <w:t xml:space="preserve">streamline convenient </w:t>
      </w:r>
      <w:r>
        <w:t>installation</w:t>
      </w:r>
    </w:p>
    <w:p w14:paraId="44B9F418" w14:textId="5E9AFEFB" w:rsidR="00C1702B" w:rsidRDefault="007B027B" w:rsidP="007B027B">
      <w:pPr>
        <w:pStyle w:val="Listenabsatz"/>
        <w:numPr>
          <w:ilvl w:val="0"/>
          <w:numId w:val="23"/>
        </w:numPr>
        <w:spacing w:line="360" w:lineRule="auto"/>
      </w:pPr>
      <w:r>
        <w:t xml:space="preserve">High reliability </w:t>
      </w:r>
      <w:r w:rsidR="00540248">
        <w:t xml:space="preserve">thanks </w:t>
      </w:r>
      <w:r>
        <w:t xml:space="preserve">to protection class IP65/67 </w:t>
      </w:r>
    </w:p>
    <w:p w14:paraId="20CD0A35" w14:textId="063D87E5" w:rsidR="007B027B" w:rsidRDefault="002D56EE" w:rsidP="001770D5">
      <w:pPr>
        <w:pStyle w:val="BodyTxt1"/>
        <w:rPr>
          <w:rStyle w:val="Hyperlink"/>
          <w:rFonts w:ascii="Arial" w:hAnsi="Arial" w:cs="Arial"/>
          <w:b/>
          <w:bCs/>
          <w:color w:val="auto"/>
          <w:sz w:val="24"/>
          <w:szCs w:val="24"/>
          <w:u w:val="none"/>
        </w:rPr>
      </w:pPr>
      <w:r>
        <w:rPr>
          <w:noProof/>
          <w:vertAlign w:val="superscript"/>
        </w:rPr>
        <w:drawing>
          <wp:anchor distT="0" distB="0" distL="114300" distR="114300" simplePos="0" relativeHeight="251658240" behindDoc="0" locked="0" layoutInCell="1" allowOverlap="1" wp14:anchorId="7B995DEE" wp14:editId="5EEE96B1">
            <wp:simplePos x="0" y="0"/>
            <wp:positionH relativeFrom="margin">
              <wp:posOffset>45720</wp:posOffset>
            </wp:positionH>
            <wp:positionV relativeFrom="paragraph">
              <wp:posOffset>5715</wp:posOffset>
            </wp:positionV>
            <wp:extent cx="1623060" cy="227465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2274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063B9" w14:textId="77777777" w:rsidR="007B027B" w:rsidRPr="00437EC8" w:rsidRDefault="007B027B" w:rsidP="001770D5">
      <w:pPr>
        <w:pStyle w:val="BodyTxt1"/>
        <w:rPr>
          <w:rStyle w:val="Hyperlink"/>
          <w:rFonts w:ascii="Arial" w:hAnsi="Arial" w:cs="Arial"/>
          <w:b/>
          <w:bCs/>
          <w:color w:val="auto"/>
          <w:sz w:val="24"/>
          <w:szCs w:val="24"/>
          <w:u w:val="none"/>
          <w:lang w:val="en-US"/>
        </w:rPr>
      </w:pPr>
    </w:p>
    <w:p w14:paraId="6EECCA60" w14:textId="4213C5A6" w:rsidR="007B027B" w:rsidRPr="00437EC8" w:rsidRDefault="007B027B" w:rsidP="001770D5">
      <w:pPr>
        <w:pStyle w:val="BodyTxt1"/>
        <w:rPr>
          <w:rStyle w:val="Hyperlink"/>
          <w:rFonts w:ascii="Arial" w:hAnsi="Arial" w:cs="Arial"/>
          <w:b/>
          <w:bCs/>
          <w:color w:val="auto"/>
          <w:sz w:val="24"/>
          <w:szCs w:val="24"/>
          <w:u w:val="none"/>
          <w:lang w:val="en-US"/>
        </w:rPr>
      </w:pPr>
    </w:p>
    <w:p w14:paraId="0B923737" w14:textId="035CFE85" w:rsidR="007B027B" w:rsidRPr="00437EC8" w:rsidRDefault="007B027B" w:rsidP="001770D5">
      <w:pPr>
        <w:pStyle w:val="BodyTxt1"/>
        <w:rPr>
          <w:rStyle w:val="Hyperlink"/>
          <w:rFonts w:ascii="Arial" w:hAnsi="Arial" w:cs="Arial"/>
          <w:b/>
          <w:bCs/>
          <w:color w:val="auto"/>
          <w:sz w:val="24"/>
          <w:szCs w:val="24"/>
          <w:u w:val="none"/>
          <w:lang w:val="en-US"/>
        </w:rPr>
      </w:pPr>
    </w:p>
    <w:p w14:paraId="090859FD" w14:textId="77777777" w:rsidR="00E1512F" w:rsidRPr="00437EC8" w:rsidRDefault="00E1512F" w:rsidP="00884E75">
      <w:pPr>
        <w:pStyle w:val="BodyTxt1"/>
        <w:rPr>
          <w:rStyle w:val="Hyperlink"/>
          <w:rFonts w:ascii="Arial" w:hAnsi="Arial" w:cs="Arial"/>
          <w:b/>
          <w:bCs/>
          <w:color w:val="auto"/>
          <w:sz w:val="24"/>
          <w:szCs w:val="24"/>
          <w:u w:val="none"/>
          <w:lang w:val="en-US"/>
        </w:rPr>
      </w:pPr>
    </w:p>
    <w:p w14:paraId="7D67B281" w14:textId="622FEBF4" w:rsidR="002F1169" w:rsidRDefault="00EE02A1" w:rsidP="00884E75">
      <w:pPr>
        <w:pStyle w:val="BodyTxt1"/>
        <w:rPr>
          <w:rStyle w:val="Hyperlink"/>
          <w:rFonts w:ascii="Arial" w:hAnsi="Arial" w:cs="Arial"/>
          <w:color w:val="auto"/>
          <w:sz w:val="24"/>
          <w:szCs w:val="24"/>
          <w:u w:val="none"/>
        </w:rPr>
      </w:pPr>
      <w:r>
        <w:rPr>
          <w:rStyle w:val="Hyperlink"/>
          <w:rFonts w:ascii="Arial" w:hAnsi="Arial"/>
          <w:b/>
          <w:color w:val="auto"/>
          <w:sz w:val="24"/>
          <w:u w:val="none"/>
        </w:rPr>
        <w:lastRenderedPageBreak/>
        <w:t xml:space="preserve">Captions: </w:t>
      </w:r>
      <w:r>
        <w:rPr>
          <w:rStyle w:val="Hyperlink"/>
          <w:rFonts w:ascii="Arial" w:hAnsi="Arial"/>
          <w:color w:val="auto"/>
          <w:sz w:val="24"/>
          <w:u w:val="none"/>
        </w:rPr>
        <w:t xml:space="preserve">The IP65/67 </w:t>
      </w:r>
      <w:r w:rsidR="002C3504">
        <w:rPr>
          <w:rStyle w:val="Hyperlink"/>
          <w:rFonts w:ascii="Arial" w:hAnsi="Arial"/>
          <w:color w:val="auto"/>
          <w:sz w:val="24"/>
          <w:u w:val="none"/>
        </w:rPr>
        <w:t>d</w:t>
      </w:r>
      <w:r>
        <w:rPr>
          <w:rStyle w:val="Hyperlink"/>
          <w:rFonts w:ascii="Arial" w:hAnsi="Arial"/>
          <w:color w:val="auto"/>
          <w:sz w:val="24"/>
          <w:u w:val="none"/>
        </w:rPr>
        <w:t xml:space="preserve">ocking </w:t>
      </w:r>
      <w:r w:rsidR="002C3504">
        <w:rPr>
          <w:rStyle w:val="Hyperlink"/>
          <w:rFonts w:ascii="Arial" w:hAnsi="Arial"/>
          <w:color w:val="auto"/>
          <w:sz w:val="24"/>
          <w:u w:val="none"/>
        </w:rPr>
        <w:t>f</w:t>
      </w:r>
      <w:r>
        <w:rPr>
          <w:rStyle w:val="Hyperlink"/>
          <w:rFonts w:ascii="Arial" w:hAnsi="Arial"/>
          <w:color w:val="auto"/>
          <w:sz w:val="24"/>
          <w:u w:val="none"/>
        </w:rPr>
        <w:t xml:space="preserve">rame enables </w:t>
      </w:r>
      <w:r w:rsidR="00540248">
        <w:rPr>
          <w:rStyle w:val="Hyperlink"/>
          <w:rFonts w:ascii="Arial" w:hAnsi="Arial"/>
          <w:color w:val="auto"/>
          <w:sz w:val="24"/>
          <w:u w:val="none"/>
        </w:rPr>
        <w:t>straight</w:t>
      </w:r>
      <w:r w:rsidR="00425E29">
        <w:rPr>
          <w:rStyle w:val="Hyperlink"/>
          <w:rFonts w:ascii="Arial" w:hAnsi="Arial"/>
          <w:color w:val="auto"/>
          <w:sz w:val="24"/>
          <w:u w:val="none"/>
        </w:rPr>
        <w:t>-</w:t>
      </w:r>
      <w:r w:rsidR="00540248">
        <w:rPr>
          <w:rStyle w:val="Hyperlink"/>
          <w:rFonts w:ascii="Arial" w:hAnsi="Arial"/>
          <w:color w:val="auto"/>
          <w:sz w:val="24"/>
          <w:u w:val="none"/>
        </w:rPr>
        <w:t>forwa</w:t>
      </w:r>
      <w:r w:rsidR="00425E29">
        <w:rPr>
          <w:rStyle w:val="Hyperlink"/>
          <w:rFonts w:ascii="Arial" w:hAnsi="Arial"/>
          <w:color w:val="auto"/>
          <w:sz w:val="24"/>
          <w:u w:val="none"/>
        </w:rPr>
        <w:t>r</w:t>
      </w:r>
      <w:r w:rsidR="00540248">
        <w:rPr>
          <w:rStyle w:val="Hyperlink"/>
          <w:rFonts w:ascii="Arial" w:hAnsi="Arial"/>
          <w:color w:val="auto"/>
          <w:sz w:val="24"/>
          <w:u w:val="none"/>
        </w:rPr>
        <w:t>d</w:t>
      </w:r>
      <w:r>
        <w:rPr>
          <w:rStyle w:val="Hyperlink"/>
          <w:rFonts w:ascii="Arial" w:hAnsi="Arial"/>
          <w:color w:val="auto"/>
          <w:sz w:val="24"/>
          <w:u w:val="none"/>
        </w:rPr>
        <w:t xml:space="preserve">, automatic connection of machine modules </w:t>
      </w:r>
      <w:r w:rsidR="00540248">
        <w:rPr>
          <w:rStyle w:val="Hyperlink"/>
          <w:rFonts w:ascii="Arial" w:hAnsi="Arial"/>
          <w:color w:val="auto"/>
          <w:sz w:val="24"/>
          <w:u w:val="none"/>
        </w:rPr>
        <w:t xml:space="preserve">– also </w:t>
      </w:r>
      <w:r>
        <w:rPr>
          <w:rStyle w:val="Hyperlink"/>
          <w:rFonts w:ascii="Arial" w:hAnsi="Arial"/>
          <w:color w:val="auto"/>
          <w:sz w:val="24"/>
          <w:u w:val="none"/>
        </w:rPr>
        <w:t xml:space="preserve">in environments with </w:t>
      </w:r>
      <w:r w:rsidR="002C3504">
        <w:rPr>
          <w:rStyle w:val="Hyperlink"/>
          <w:rFonts w:ascii="Arial" w:hAnsi="Arial"/>
          <w:color w:val="auto"/>
          <w:sz w:val="24"/>
          <w:u w:val="none"/>
        </w:rPr>
        <w:t xml:space="preserve">harsh and demanding ambient conditions. </w:t>
      </w:r>
    </w:p>
    <w:bookmarkEnd w:id="0"/>
    <w:bookmarkEnd w:id="1"/>
    <w:p w14:paraId="69D3B31E" w14:textId="716578DA" w:rsidR="00D015AE" w:rsidRPr="00D015AE" w:rsidRDefault="00D015AE" w:rsidP="00D015AE">
      <w:pPr>
        <w:pStyle w:val="KeinLeerraum"/>
        <w:spacing w:line="360" w:lineRule="auto"/>
        <w:rPr>
          <w:rFonts w:cs="Arial"/>
          <w:b/>
          <w:bCs/>
          <w:sz w:val="24"/>
          <w:szCs w:val="24"/>
        </w:rPr>
      </w:pPr>
      <w:r>
        <w:rPr>
          <w:b/>
          <w:sz w:val="24"/>
        </w:rPr>
        <w:t>About HARTING:</w:t>
      </w:r>
    </w:p>
    <w:p w14:paraId="79876FAE" w14:textId="2583E7B8" w:rsidR="00FD3449" w:rsidRDefault="00D015AE" w:rsidP="00446180">
      <w:pPr>
        <w:spacing w:line="360" w:lineRule="auto"/>
        <w:contextualSpacing/>
        <w:rPr>
          <w:rFonts w:cs="Arial"/>
          <w:sz w:val="22"/>
          <w:szCs w:val="24"/>
        </w:rPr>
      </w:pPr>
      <w:r>
        <w:t xml:space="preserve">The HARTING Technology Group is a leading global </w:t>
      </w:r>
      <w:r w:rsidR="009A2A59">
        <w:t xml:space="preserve">provider </w:t>
      </w:r>
      <w:r>
        <w:t xml:space="preserve">of industrial connectivity. Around 6,500 employees are </w:t>
      </w:r>
      <w:r w:rsidR="009A2A59">
        <w:t xml:space="preserve">active </w:t>
      </w:r>
      <w:r>
        <w:t>across the globe in 44 sales companies, 1</w:t>
      </w:r>
      <w:r w:rsidR="00DF4240">
        <w:t>5</w:t>
      </w:r>
      <w:r>
        <w:t xml:space="preserve"> production facilities and six development sites. HARTING connectivity solutions are used to transmit "data, signals and power" in numerous industrial sectors. Among others, in transportation, electromobility, renewable energy production, automation and mechanical engineering. In the 2021/22 business year</w:t>
      </w:r>
      <w:r w:rsidR="009A2A59">
        <w:t xml:space="preserve"> the family owned and managed company </w:t>
      </w:r>
      <w:r>
        <w:t>generated sales of EUR 1,059 million.</w:t>
      </w:r>
    </w:p>
    <w:p w14:paraId="4AF08B69" w14:textId="77777777" w:rsidR="00594BF6" w:rsidRPr="00676E37" w:rsidRDefault="00594BF6" w:rsidP="004C618D">
      <w:pPr>
        <w:spacing w:after="0" w:line="360" w:lineRule="auto"/>
        <w:rPr>
          <w:rFonts w:cs="Arial"/>
          <w:szCs w:val="24"/>
        </w:rPr>
      </w:pPr>
    </w:p>
    <w:p w14:paraId="2716EC04" w14:textId="77777777" w:rsidR="00AC2C47" w:rsidRPr="00C419E7" w:rsidRDefault="00AC2C47" w:rsidP="00807181">
      <w:pPr>
        <w:spacing w:line="240" w:lineRule="auto"/>
        <w:contextualSpacing/>
        <w:rPr>
          <w:rFonts w:cs="Arial"/>
          <w:szCs w:val="24"/>
          <w:u w:val="single"/>
        </w:rPr>
      </w:pPr>
      <w:r>
        <w:rPr>
          <w:b/>
          <w:u w:val="single"/>
        </w:rPr>
        <w:t>Contact:</w:t>
      </w:r>
    </w:p>
    <w:p w14:paraId="356924BA" w14:textId="35B9714C" w:rsidR="00AC2C47" w:rsidRPr="00DC5CC8" w:rsidRDefault="00AC2C47" w:rsidP="00807181">
      <w:pPr>
        <w:spacing w:line="240" w:lineRule="auto"/>
        <w:contextualSpacing/>
        <w:rPr>
          <w:rFonts w:eastAsiaTheme="minorEastAsia" w:cs="Arial"/>
          <w:noProof/>
          <w:szCs w:val="24"/>
        </w:rPr>
      </w:pPr>
      <w:r>
        <w:t>HARTING Stiftung &amp; Co. KG</w:t>
      </w:r>
      <w:r>
        <w:br/>
        <w:t>Detlef Sieverdingbeck</w:t>
      </w:r>
      <w:r>
        <w:br/>
        <w:t>General Manager</w:t>
      </w:r>
      <w:r>
        <w:br/>
        <w:t>Corporate Communication &amp; Branding (CCB)</w:t>
      </w:r>
    </w:p>
    <w:p w14:paraId="263C5311" w14:textId="77777777" w:rsidR="00807181" w:rsidRPr="00DC5CC8" w:rsidRDefault="00807181" w:rsidP="00807181">
      <w:pPr>
        <w:spacing w:line="240" w:lineRule="auto"/>
        <w:contextualSpacing/>
        <w:rPr>
          <w:rFonts w:cs="Arial"/>
          <w:szCs w:val="24"/>
          <w:lang w:val="en-US"/>
        </w:rPr>
      </w:pPr>
    </w:p>
    <w:p w14:paraId="1A269E4B" w14:textId="06D46019" w:rsidR="00AE5868" w:rsidRPr="00AE5868" w:rsidRDefault="00AE5868" w:rsidP="00AE5868">
      <w:pPr>
        <w:spacing w:line="240" w:lineRule="auto"/>
        <w:contextualSpacing/>
        <w:rPr>
          <w:rFonts w:cs="Arial"/>
          <w:szCs w:val="24"/>
          <w:lang w:val="de-DE"/>
        </w:rPr>
      </w:pPr>
      <w:r w:rsidRPr="00AE5868">
        <w:rPr>
          <w:rFonts w:cs="Arial"/>
          <w:szCs w:val="24"/>
          <w:lang w:val="de-DE"/>
        </w:rPr>
        <w:t>Marienwerderstr. 3</w:t>
      </w:r>
      <w:r w:rsidRPr="00AE5868">
        <w:rPr>
          <w:rFonts w:cs="Arial"/>
          <w:szCs w:val="24"/>
          <w:lang w:val="de-DE"/>
        </w:rPr>
        <w:br/>
      </w:r>
      <w:r w:rsidR="00850040">
        <w:rPr>
          <w:rFonts w:cs="Arial"/>
          <w:szCs w:val="24"/>
          <w:lang w:val="de-DE"/>
        </w:rPr>
        <w:t>D-</w:t>
      </w:r>
      <w:r w:rsidRPr="00AE5868">
        <w:rPr>
          <w:rFonts w:cs="Arial"/>
          <w:szCs w:val="24"/>
          <w:lang w:val="de-DE"/>
        </w:rPr>
        <w:t>32339 Espelkamp</w:t>
      </w:r>
    </w:p>
    <w:p w14:paraId="56935A2B" w14:textId="77777777" w:rsidR="00AE5868" w:rsidRPr="00AE5868" w:rsidRDefault="00AE5868" w:rsidP="00AE5868">
      <w:pPr>
        <w:spacing w:line="240" w:lineRule="auto"/>
        <w:contextualSpacing/>
        <w:rPr>
          <w:rFonts w:cs="Arial"/>
          <w:szCs w:val="24"/>
          <w:lang w:val="de-DE"/>
        </w:rPr>
      </w:pPr>
    </w:p>
    <w:p w14:paraId="6DF702ED" w14:textId="5F5FBBCD" w:rsidR="00AE5868" w:rsidRPr="00AE5868" w:rsidRDefault="00AE5868" w:rsidP="00AE5868">
      <w:pPr>
        <w:spacing w:line="240" w:lineRule="auto"/>
        <w:contextualSpacing/>
        <w:rPr>
          <w:rStyle w:val="Hyperlink"/>
          <w:szCs w:val="24"/>
          <w:lang w:val="de-DE"/>
        </w:rPr>
      </w:pPr>
      <w:r w:rsidRPr="00AE5868">
        <w:rPr>
          <w:rFonts w:cs="Arial"/>
          <w:szCs w:val="24"/>
          <w:lang w:val="de-DE"/>
        </w:rPr>
        <w:t xml:space="preserve">Tel.: </w:t>
      </w:r>
      <w:r w:rsidR="00850040">
        <w:rPr>
          <w:rFonts w:cs="Arial"/>
          <w:szCs w:val="24"/>
          <w:lang w:val="de-DE"/>
        </w:rPr>
        <w:t xml:space="preserve">+49 </w:t>
      </w:r>
      <w:r w:rsidRPr="00AE5868">
        <w:rPr>
          <w:rFonts w:cs="Arial"/>
          <w:szCs w:val="24"/>
          <w:lang w:val="de-DE"/>
        </w:rPr>
        <w:t>5772 47-244</w:t>
      </w:r>
      <w:r w:rsidRPr="00AE5868">
        <w:rPr>
          <w:rFonts w:cs="Arial"/>
          <w:szCs w:val="24"/>
          <w:lang w:val="de-DE"/>
        </w:rPr>
        <w:br/>
      </w:r>
      <w:hyperlink r:id="rId9" w:history="1">
        <w:r w:rsidRPr="00AE5868">
          <w:rPr>
            <w:rStyle w:val="Hyperlink"/>
            <w:rFonts w:cs="Arial"/>
            <w:szCs w:val="24"/>
            <w:lang w:val="de-DE"/>
          </w:rPr>
          <w:t>Detlef.Sieverdingbeck@HARTING.com</w:t>
        </w:r>
      </w:hyperlink>
    </w:p>
    <w:p w14:paraId="7081BB2D" w14:textId="1EB829C1" w:rsidR="00AC2C47" w:rsidRPr="00AE5868" w:rsidRDefault="00AC2C47" w:rsidP="00AE5868">
      <w:pPr>
        <w:spacing w:line="240" w:lineRule="auto"/>
        <w:contextualSpacing/>
        <w:rPr>
          <w:rStyle w:val="Hyperlink"/>
          <w:szCs w:val="24"/>
          <w:lang w:val="de-DE"/>
        </w:rPr>
      </w:pPr>
    </w:p>
    <w:sectPr w:rsidR="00AC2C47" w:rsidRPr="00AE5868" w:rsidSect="00F20616">
      <w:headerReference w:type="default" r:id="rId10"/>
      <w:pgSz w:w="11906" w:h="16838"/>
      <w:pgMar w:top="2658" w:right="964" w:bottom="1134" w:left="1361"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C422" w14:textId="77777777" w:rsidR="003553C9" w:rsidRDefault="003553C9" w:rsidP="001A06E0">
      <w:pPr>
        <w:spacing w:after="0" w:line="240" w:lineRule="auto"/>
      </w:pPr>
      <w:r>
        <w:separator/>
      </w:r>
    </w:p>
  </w:endnote>
  <w:endnote w:type="continuationSeparator" w:id="0">
    <w:p w14:paraId="10F1612D" w14:textId="77777777" w:rsidR="003553C9" w:rsidRDefault="003553C9"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4FB1" w14:textId="77777777" w:rsidR="003553C9" w:rsidRDefault="003553C9" w:rsidP="001A06E0">
      <w:pPr>
        <w:spacing w:after="0" w:line="240" w:lineRule="auto"/>
      </w:pPr>
      <w:r>
        <w:separator/>
      </w:r>
    </w:p>
  </w:footnote>
  <w:footnote w:type="continuationSeparator" w:id="0">
    <w:p w14:paraId="19BD2B25" w14:textId="77777777" w:rsidR="003553C9" w:rsidRDefault="003553C9"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3E837E69" w:rsidR="00E916B2" w:rsidRPr="008724CD" w:rsidRDefault="00945A5C" w:rsidP="00E916B2">
    <w:pPr>
      <w:spacing w:before="960" w:after="0"/>
      <w:jc w:val="right"/>
      <w:rPr>
        <w:sz w:val="20"/>
        <w:szCs w:val="20"/>
      </w:rPr>
    </w:pPr>
    <w:r>
      <w:rPr>
        <w:noProof/>
        <w:color w:val="FFCC00"/>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42A8C"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sidR="00B0497A">
      <w:rPr>
        <w:sz w:val="20"/>
      </w:rPr>
      <w:t>November</w:t>
    </w:r>
    <w:r>
      <w:rPr>
        <w:sz w:val="20"/>
      </w:rPr>
      <w:t xml:space="preserve"> 2023, Page </w:t>
    </w:r>
    <w:r w:rsidR="00F20616">
      <w:rPr>
        <w:sz w:val="20"/>
      </w:rPr>
      <w:fldChar w:fldCharType="begin"/>
    </w:r>
    <w:r w:rsidR="00F20616">
      <w:rPr>
        <w:sz w:val="20"/>
      </w:rPr>
      <w:instrText xml:space="preserve"> PAGE  \* Arabic  \* MERGEFORMAT </w:instrText>
    </w:r>
    <w:r w:rsidR="00F20616">
      <w:rPr>
        <w:sz w:val="20"/>
      </w:rPr>
      <w:fldChar w:fldCharType="separate"/>
    </w:r>
    <w:r w:rsidR="00F20616">
      <w:rPr>
        <w:noProof/>
        <w:sz w:val="20"/>
      </w:rPr>
      <w:t>1</w:t>
    </w:r>
    <w:r w:rsidR="00F20616">
      <w:rPr>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5C090C"/>
    <w:multiLevelType w:val="hybridMultilevel"/>
    <w:tmpl w:val="D2DA8180"/>
    <w:lvl w:ilvl="0" w:tplc="145EB828">
      <w:start w:val="1"/>
      <w:numFmt w:val="bullet"/>
      <w:lvlText w:val=""/>
      <w:lvlJc w:val="left"/>
      <w:pPr>
        <w:ind w:left="720" w:hanging="360"/>
      </w:pPr>
      <w:rPr>
        <w:rFonts w:ascii="Wingdings" w:hAnsi="Wingdings" w:hint="default"/>
        <w:color w:val="FFCC00"/>
        <w:u w:color="FFCC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0102C"/>
    <w:multiLevelType w:val="hybridMultilevel"/>
    <w:tmpl w:val="4A12FD5E"/>
    <w:lvl w:ilvl="0" w:tplc="E20463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F39B4"/>
    <w:multiLevelType w:val="hybridMultilevel"/>
    <w:tmpl w:val="D3CE0A26"/>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827E5"/>
    <w:multiLevelType w:val="hybridMultilevel"/>
    <w:tmpl w:val="2CC00844"/>
    <w:lvl w:ilvl="0" w:tplc="B29EFA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6C6E87"/>
    <w:multiLevelType w:val="hybridMultilevel"/>
    <w:tmpl w:val="03BA3834"/>
    <w:lvl w:ilvl="0" w:tplc="145EB828">
      <w:start w:val="1"/>
      <w:numFmt w:val="bullet"/>
      <w:lvlText w:val=""/>
      <w:lvlJc w:val="left"/>
      <w:pPr>
        <w:ind w:left="720" w:hanging="360"/>
      </w:pPr>
      <w:rPr>
        <w:rFonts w:ascii="Wingdings" w:hAnsi="Wingdings" w:hint="default"/>
        <w:color w:val="FFCC00"/>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3375796"/>
    <w:multiLevelType w:val="hybridMultilevel"/>
    <w:tmpl w:val="72D84D7E"/>
    <w:lvl w:ilvl="0" w:tplc="145EB828">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6D1797A"/>
    <w:multiLevelType w:val="hybridMultilevel"/>
    <w:tmpl w:val="2156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21"/>
  </w:num>
  <w:num w:numId="2" w16cid:durableId="301039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6"/>
  </w:num>
  <w:num w:numId="4" w16cid:durableId="940261527">
    <w:abstractNumId w:val="17"/>
  </w:num>
  <w:num w:numId="5" w16cid:durableId="1304892205">
    <w:abstractNumId w:val="11"/>
  </w:num>
  <w:num w:numId="6" w16cid:durableId="1433279481">
    <w:abstractNumId w:val="22"/>
  </w:num>
  <w:num w:numId="7" w16cid:durableId="89936074">
    <w:abstractNumId w:val="1"/>
  </w:num>
  <w:num w:numId="8" w16cid:durableId="707990266">
    <w:abstractNumId w:val="10"/>
  </w:num>
  <w:num w:numId="9" w16cid:durableId="1743990801">
    <w:abstractNumId w:val="8"/>
  </w:num>
  <w:num w:numId="10" w16cid:durableId="571238701">
    <w:abstractNumId w:val="12"/>
  </w:num>
  <w:num w:numId="11" w16cid:durableId="1708791531">
    <w:abstractNumId w:val="18"/>
  </w:num>
  <w:num w:numId="12" w16cid:durableId="107091874">
    <w:abstractNumId w:val="15"/>
  </w:num>
  <w:num w:numId="13" w16cid:durableId="1675111874">
    <w:abstractNumId w:val="13"/>
  </w:num>
  <w:num w:numId="14" w16cid:durableId="1810825549">
    <w:abstractNumId w:val="0"/>
  </w:num>
  <w:num w:numId="15" w16cid:durableId="1334257530">
    <w:abstractNumId w:val="5"/>
  </w:num>
  <w:num w:numId="16" w16cid:durableId="1681737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7576798">
    <w:abstractNumId w:val="14"/>
  </w:num>
  <w:num w:numId="18" w16cid:durableId="149757643">
    <w:abstractNumId w:val="20"/>
  </w:num>
  <w:num w:numId="19" w16cid:durableId="1227646675">
    <w:abstractNumId w:val="2"/>
  </w:num>
  <w:num w:numId="20" w16cid:durableId="1763145063">
    <w:abstractNumId w:val="9"/>
  </w:num>
  <w:num w:numId="21" w16cid:durableId="2024093518">
    <w:abstractNumId w:val="7"/>
  </w:num>
  <w:num w:numId="22" w16cid:durableId="1333483817">
    <w:abstractNumId w:val="19"/>
  </w:num>
  <w:num w:numId="23" w16cid:durableId="316303553">
    <w:abstractNumId w:val="4"/>
  </w:num>
  <w:num w:numId="24" w16cid:durableId="96712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1289"/>
    <w:rsid w:val="000017C1"/>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2217"/>
    <w:rsid w:val="00147C97"/>
    <w:rsid w:val="00152604"/>
    <w:rsid w:val="00153480"/>
    <w:rsid w:val="00154DA5"/>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0861"/>
    <w:rsid w:val="00211065"/>
    <w:rsid w:val="00211C7D"/>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718"/>
    <w:rsid w:val="0027013D"/>
    <w:rsid w:val="00270A16"/>
    <w:rsid w:val="0027225A"/>
    <w:rsid w:val="00277554"/>
    <w:rsid w:val="002834DB"/>
    <w:rsid w:val="002835B9"/>
    <w:rsid w:val="00283D3D"/>
    <w:rsid w:val="0028459A"/>
    <w:rsid w:val="0029246F"/>
    <w:rsid w:val="002945CE"/>
    <w:rsid w:val="00295503"/>
    <w:rsid w:val="00296EFD"/>
    <w:rsid w:val="002A33FA"/>
    <w:rsid w:val="002A5D2B"/>
    <w:rsid w:val="002A6C2F"/>
    <w:rsid w:val="002B183A"/>
    <w:rsid w:val="002B79DB"/>
    <w:rsid w:val="002C224D"/>
    <w:rsid w:val="002C2DF7"/>
    <w:rsid w:val="002C3504"/>
    <w:rsid w:val="002C5882"/>
    <w:rsid w:val="002C6681"/>
    <w:rsid w:val="002C7556"/>
    <w:rsid w:val="002D0669"/>
    <w:rsid w:val="002D56EE"/>
    <w:rsid w:val="002D6C84"/>
    <w:rsid w:val="002E17F2"/>
    <w:rsid w:val="002E1D89"/>
    <w:rsid w:val="002E30A3"/>
    <w:rsid w:val="002E412D"/>
    <w:rsid w:val="002E48D1"/>
    <w:rsid w:val="002E5F2B"/>
    <w:rsid w:val="002E7856"/>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E15"/>
    <w:rsid w:val="003528A1"/>
    <w:rsid w:val="00352AC1"/>
    <w:rsid w:val="00355084"/>
    <w:rsid w:val="003553C9"/>
    <w:rsid w:val="00355814"/>
    <w:rsid w:val="00356AD6"/>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79AC"/>
    <w:rsid w:val="003B21BA"/>
    <w:rsid w:val="003B2C38"/>
    <w:rsid w:val="003B44D2"/>
    <w:rsid w:val="003D1B15"/>
    <w:rsid w:val="003D3A2E"/>
    <w:rsid w:val="003D66E4"/>
    <w:rsid w:val="003E19D1"/>
    <w:rsid w:val="003E1A51"/>
    <w:rsid w:val="003E3940"/>
    <w:rsid w:val="003E4A6F"/>
    <w:rsid w:val="003F0395"/>
    <w:rsid w:val="003F30C3"/>
    <w:rsid w:val="003F42BF"/>
    <w:rsid w:val="00400C08"/>
    <w:rsid w:val="00402A7C"/>
    <w:rsid w:val="00403388"/>
    <w:rsid w:val="0040365C"/>
    <w:rsid w:val="00403CCE"/>
    <w:rsid w:val="00406989"/>
    <w:rsid w:val="00410FDD"/>
    <w:rsid w:val="0041646F"/>
    <w:rsid w:val="00420117"/>
    <w:rsid w:val="00420F34"/>
    <w:rsid w:val="00422444"/>
    <w:rsid w:val="00423CC9"/>
    <w:rsid w:val="00425E29"/>
    <w:rsid w:val="00426401"/>
    <w:rsid w:val="004274A9"/>
    <w:rsid w:val="00427887"/>
    <w:rsid w:val="00431BB1"/>
    <w:rsid w:val="004327FB"/>
    <w:rsid w:val="00433A93"/>
    <w:rsid w:val="00435118"/>
    <w:rsid w:val="00436CB0"/>
    <w:rsid w:val="00437448"/>
    <w:rsid w:val="00437989"/>
    <w:rsid w:val="00437EC8"/>
    <w:rsid w:val="00440DF7"/>
    <w:rsid w:val="00441614"/>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0248"/>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429"/>
    <w:rsid w:val="00571873"/>
    <w:rsid w:val="00572405"/>
    <w:rsid w:val="00572868"/>
    <w:rsid w:val="005766D2"/>
    <w:rsid w:val="0058083F"/>
    <w:rsid w:val="00581A2D"/>
    <w:rsid w:val="00584F63"/>
    <w:rsid w:val="00584F87"/>
    <w:rsid w:val="005853BE"/>
    <w:rsid w:val="00587204"/>
    <w:rsid w:val="005872AB"/>
    <w:rsid w:val="00590046"/>
    <w:rsid w:val="00590E75"/>
    <w:rsid w:val="00594BF6"/>
    <w:rsid w:val="005976D5"/>
    <w:rsid w:val="005A2125"/>
    <w:rsid w:val="005A57F7"/>
    <w:rsid w:val="005A613D"/>
    <w:rsid w:val="005B12D8"/>
    <w:rsid w:val="005B206F"/>
    <w:rsid w:val="005C1D33"/>
    <w:rsid w:val="005C2382"/>
    <w:rsid w:val="005C2475"/>
    <w:rsid w:val="005C7268"/>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6651"/>
    <w:rsid w:val="007366A9"/>
    <w:rsid w:val="007367CA"/>
    <w:rsid w:val="007372A4"/>
    <w:rsid w:val="00737FE5"/>
    <w:rsid w:val="00742B0E"/>
    <w:rsid w:val="00745D3D"/>
    <w:rsid w:val="00752C28"/>
    <w:rsid w:val="00753EE7"/>
    <w:rsid w:val="00755DC9"/>
    <w:rsid w:val="00756805"/>
    <w:rsid w:val="00756A96"/>
    <w:rsid w:val="007605BB"/>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027B"/>
    <w:rsid w:val="007B1279"/>
    <w:rsid w:val="007B2364"/>
    <w:rsid w:val="007B2803"/>
    <w:rsid w:val="007B5B66"/>
    <w:rsid w:val="007B5EFD"/>
    <w:rsid w:val="007B6EA1"/>
    <w:rsid w:val="007C00DB"/>
    <w:rsid w:val="007C0FF5"/>
    <w:rsid w:val="007C5D3F"/>
    <w:rsid w:val="007D1DC6"/>
    <w:rsid w:val="007D383C"/>
    <w:rsid w:val="007D5CCD"/>
    <w:rsid w:val="007D5F54"/>
    <w:rsid w:val="007D66C5"/>
    <w:rsid w:val="007E395D"/>
    <w:rsid w:val="007E513E"/>
    <w:rsid w:val="007F2667"/>
    <w:rsid w:val="007F4458"/>
    <w:rsid w:val="007F48A9"/>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50040"/>
    <w:rsid w:val="00853AA2"/>
    <w:rsid w:val="00854FDD"/>
    <w:rsid w:val="008556EC"/>
    <w:rsid w:val="00856934"/>
    <w:rsid w:val="00861071"/>
    <w:rsid w:val="00863D55"/>
    <w:rsid w:val="008724CD"/>
    <w:rsid w:val="00877516"/>
    <w:rsid w:val="00880549"/>
    <w:rsid w:val="00881097"/>
    <w:rsid w:val="00884E10"/>
    <w:rsid w:val="00884E75"/>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2B1A"/>
    <w:rsid w:val="009137E1"/>
    <w:rsid w:val="00915C35"/>
    <w:rsid w:val="0092130B"/>
    <w:rsid w:val="00921E82"/>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1A58"/>
    <w:rsid w:val="00982F8C"/>
    <w:rsid w:val="00984B08"/>
    <w:rsid w:val="00990B9F"/>
    <w:rsid w:val="00993204"/>
    <w:rsid w:val="00994A14"/>
    <w:rsid w:val="00994E7B"/>
    <w:rsid w:val="009954CE"/>
    <w:rsid w:val="00996882"/>
    <w:rsid w:val="009A1F01"/>
    <w:rsid w:val="009A271C"/>
    <w:rsid w:val="009A2A59"/>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C2C9D"/>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B30"/>
    <w:rsid w:val="00AE3D13"/>
    <w:rsid w:val="00AE5868"/>
    <w:rsid w:val="00AE79DB"/>
    <w:rsid w:val="00AF0B9E"/>
    <w:rsid w:val="00AF24DD"/>
    <w:rsid w:val="00AF4DFE"/>
    <w:rsid w:val="00AF5A74"/>
    <w:rsid w:val="00AF5D94"/>
    <w:rsid w:val="00AF68EC"/>
    <w:rsid w:val="00AF751A"/>
    <w:rsid w:val="00AF7889"/>
    <w:rsid w:val="00B013FA"/>
    <w:rsid w:val="00B03107"/>
    <w:rsid w:val="00B0497A"/>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E4801"/>
    <w:rsid w:val="00BE6175"/>
    <w:rsid w:val="00BE7141"/>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8EF"/>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D00960"/>
    <w:rsid w:val="00D00E10"/>
    <w:rsid w:val="00D015AE"/>
    <w:rsid w:val="00D01FA5"/>
    <w:rsid w:val="00D03D6B"/>
    <w:rsid w:val="00D03E19"/>
    <w:rsid w:val="00D06572"/>
    <w:rsid w:val="00D11607"/>
    <w:rsid w:val="00D1408F"/>
    <w:rsid w:val="00D14559"/>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5CC8"/>
    <w:rsid w:val="00DC7CF3"/>
    <w:rsid w:val="00DD1FA0"/>
    <w:rsid w:val="00DD3421"/>
    <w:rsid w:val="00DE4048"/>
    <w:rsid w:val="00DE4CB3"/>
    <w:rsid w:val="00DE4D67"/>
    <w:rsid w:val="00DE4D6A"/>
    <w:rsid w:val="00DE731C"/>
    <w:rsid w:val="00DE7D67"/>
    <w:rsid w:val="00DF1CED"/>
    <w:rsid w:val="00DF3F47"/>
    <w:rsid w:val="00DF4240"/>
    <w:rsid w:val="00DF44C2"/>
    <w:rsid w:val="00DF6181"/>
    <w:rsid w:val="00E010C9"/>
    <w:rsid w:val="00E01667"/>
    <w:rsid w:val="00E018F8"/>
    <w:rsid w:val="00E02557"/>
    <w:rsid w:val="00E034EB"/>
    <w:rsid w:val="00E04441"/>
    <w:rsid w:val="00E05C10"/>
    <w:rsid w:val="00E074D7"/>
    <w:rsid w:val="00E11968"/>
    <w:rsid w:val="00E13ACD"/>
    <w:rsid w:val="00E1512F"/>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5238"/>
    <w:rsid w:val="00E56333"/>
    <w:rsid w:val="00E611C3"/>
    <w:rsid w:val="00E61D01"/>
    <w:rsid w:val="00E62253"/>
    <w:rsid w:val="00E622EE"/>
    <w:rsid w:val="00E6307C"/>
    <w:rsid w:val="00E63640"/>
    <w:rsid w:val="00E65D7E"/>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616"/>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0EAD"/>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9DF"/>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2015</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Kuehme, Lars</cp:lastModifiedBy>
  <cp:revision>6</cp:revision>
  <cp:lastPrinted>2023-10-19T10:45:00Z</cp:lastPrinted>
  <dcterms:created xsi:type="dcterms:W3CDTF">2023-11-10T09:05:00Z</dcterms:created>
  <dcterms:modified xsi:type="dcterms:W3CDTF">2023-11-10T12:16:00Z</dcterms:modified>
  <cp:category>Vorlage</cp:category>
</cp:coreProperties>
</file>