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F0C" w14:textId="554BD39D" w:rsidR="00C55C2F" w:rsidRDefault="00C55C2F" w:rsidP="00A369F4">
      <w:pPr>
        <w:spacing w:line="360" w:lineRule="auto"/>
        <w:contextualSpacing/>
        <w:rPr>
          <w:b/>
          <w:bCs/>
        </w:rPr>
      </w:pPr>
      <w:bookmarkStart w:id="0" w:name="_Hlk134796266"/>
      <w:r>
        <w:rPr>
          <w:b/>
        </w:rPr>
        <w:t>HARTING enabling Smart Production Solutions</w:t>
      </w:r>
    </w:p>
    <w:p w14:paraId="72C74BDE" w14:textId="4C0D5F7D" w:rsidR="00CF32D1" w:rsidRDefault="00CF32D1" w:rsidP="00A369F4">
      <w:pPr>
        <w:spacing w:line="360" w:lineRule="auto"/>
        <w:contextualSpacing/>
      </w:pPr>
    </w:p>
    <w:p w14:paraId="123086CB" w14:textId="78863213" w:rsidR="004A0CF0" w:rsidRDefault="004C618D" w:rsidP="00996882">
      <w:pPr>
        <w:spacing w:line="360" w:lineRule="auto"/>
        <w:rPr>
          <w:b/>
          <w:bCs/>
        </w:rPr>
      </w:pPr>
      <w:r>
        <w:rPr>
          <w:b/>
        </w:rPr>
        <w:t xml:space="preserve">Espelkamp, 14 November 2023 --- Digitalisation, de(globalisation), sustainability and energy efficiency: </w:t>
      </w:r>
      <w:r w:rsidR="00170F09">
        <w:rPr>
          <w:b/>
        </w:rPr>
        <w:t xml:space="preserve">these </w:t>
      </w:r>
      <w:r w:rsidR="00A50321">
        <w:rPr>
          <w:b/>
        </w:rPr>
        <w:t xml:space="preserve">crucial </w:t>
      </w:r>
      <w:r>
        <w:rPr>
          <w:b/>
        </w:rPr>
        <w:t xml:space="preserve">issues are currently preoccupying our society. </w:t>
      </w:r>
      <w:r w:rsidR="002D56A7">
        <w:rPr>
          <w:b/>
        </w:rPr>
        <w:t xml:space="preserve">In line with </w:t>
      </w:r>
      <w:r>
        <w:rPr>
          <w:b/>
        </w:rPr>
        <w:t>the trade fair motto</w:t>
      </w:r>
      <w:r w:rsidR="00A50321">
        <w:rPr>
          <w:b/>
        </w:rPr>
        <w:t xml:space="preserve"> of</w:t>
      </w:r>
      <w:r>
        <w:rPr>
          <w:b/>
        </w:rPr>
        <w:t xml:space="preserve"> "Bringing Automation to Life", </w:t>
      </w:r>
      <w:r w:rsidR="002D56A7">
        <w:rPr>
          <w:b/>
        </w:rPr>
        <w:t>at SPS 2023 in Nurember</w:t>
      </w:r>
      <w:r w:rsidR="005E5ABC">
        <w:rPr>
          <w:b/>
        </w:rPr>
        <w:t>g</w:t>
      </w:r>
      <w:r w:rsidR="002D56A7">
        <w:rPr>
          <w:b/>
        </w:rPr>
        <w:t xml:space="preserve">, </w:t>
      </w:r>
      <w:r>
        <w:rPr>
          <w:b/>
        </w:rPr>
        <w:t xml:space="preserve">HARTING will once again be showcasing innovations and solutions </w:t>
      </w:r>
      <w:r w:rsidR="002D56A7">
        <w:rPr>
          <w:b/>
        </w:rPr>
        <w:t xml:space="preserve">geared to meeting these </w:t>
      </w:r>
      <w:r>
        <w:rPr>
          <w:b/>
        </w:rPr>
        <w:t>challenges.</w:t>
      </w:r>
    </w:p>
    <w:p w14:paraId="58B01B74" w14:textId="492E77EB" w:rsidR="003D1C10" w:rsidRDefault="00525832" w:rsidP="00E01667">
      <w:pPr>
        <w:spacing w:line="360" w:lineRule="auto"/>
      </w:pPr>
      <w:bookmarkStart w:id="1" w:name="_Hlk144193155"/>
      <w:r>
        <w:t xml:space="preserve">The </w:t>
      </w:r>
      <w:r w:rsidR="002D56A7">
        <w:t xml:space="preserve">Technology Group refers to the underlying </w:t>
      </w:r>
      <w:r>
        <w:t xml:space="preserve">concept </w:t>
      </w:r>
      <w:r w:rsidR="002D56A7">
        <w:t xml:space="preserve">as </w:t>
      </w:r>
      <w:r>
        <w:t>Connectivity+</w:t>
      </w:r>
      <w:r w:rsidR="002D56A7">
        <w:t xml:space="preserve">. Pursuing this approach, </w:t>
      </w:r>
      <w:r>
        <w:t xml:space="preserve">HARTING </w:t>
      </w:r>
      <w:r w:rsidR="002D56A7">
        <w:t xml:space="preserve">examines the </w:t>
      </w:r>
      <w:r>
        <w:t xml:space="preserve">social and technological megatrends and </w:t>
      </w:r>
      <w:r w:rsidR="00F91E55">
        <w:t xml:space="preserve">harnesses </w:t>
      </w:r>
      <w:r>
        <w:t xml:space="preserve">them to develop solutions that </w:t>
      </w:r>
      <w:r w:rsidR="002D56A7">
        <w:t xml:space="preserve">extend </w:t>
      </w:r>
      <w:r>
        <w:t xml:space="preserve">far beyond </w:t>
      </w:r>
      <w:r w:rsidR="002D56A7">
        <w:t xml:space="preserve">conventional </w:t>
      </w:r>
      <w:r>
        <w:t xml:space="preserve">electronic components. </w:t>
      </w:r>
      <w:r w:rsidR="002D56A7">
        <w:t xml:space="preserve">This year’s main </w:t>
      </w:r>
      <w:r>
        <w:t>focus</w:t>
      </w:r>
      <w:r w:rsidR="002D56A7">
        <w:t xml:space="preserve">: </w:t>
      </w:r>
      <w:r w:rsidR="00170F09">
        <w:t xml:space="preserve">connection </w:t>
      </w:r>
      <w:r>
        <w:t xml:space="preserve">technology </w:t>
      </w:r>
      <w:r w:rsidR="002D56A7">
        <w:t xml:space="preserve">addressing </w:t>
      </w:r>
      <w:r>
        <w:t xml:space="preserve">the megatrend of sustainability and the technology trend of the digital twin. In this way, the technology group is actively shaping the industrial transformation. </w:t>
      </w:r>
    </w:p>
    <w:p w14:paraId="0FE54921" w14:textId="62C41FBB" w:rsidR="000D5752" w:rsidRDefault="00170F09" w:rsidP="00E01667">
      <w:pPr>
        <w:spacing w:line="360" w:lineRule="auto"/>
      </w:pPr>
      <w:r>
        <w:t xml:space="preserve">In the run-up to </w:t>
      </w:r>
      <w:r w:rsidR="00E14355">
        <w:t xml:space="preserve">the traditional HARTING press conference, </w:t>
      </w:r>
      <w:r w:rsidR="00E14355" w:rsidRPr="00146345">
        <w:t>Philip Harting</w:t>
      </w:r>
      <w:r w:rsidR="00E14355">
        <w:t xml:space="preserve">, CEO of the </w:t>
      </w:r>
      <w:r>
        <w:t xml:space="preserve">HARTING </w:t>
      </w:r>
      <w:r w:rsidR="00E14355">
        <w:t xml:space="preserve">Technology Group, also </w:t>
      </w:r>
      <w:r w:rsidR="00E14355" w:rsidRPr="00146345">
        <w:t>took</w:t>
      </w:r>
      <w:r w:rsidR="002D56A7">
        <w:t xml:space="preserve"> </w:t>
      </w:r>
      <w:r w:rsidR="00E14355">
        <w:t xml:space="preserve">up the topic of challenges and </w:t>
      </w:r>
      <w:r w:rsidR="00F91E55">
        <w:t xml:space="preserve">commented on Germany’s economy: </w:t>
      </w:r>
      <w:r w:rsidR="00E14355">
        <w:t xml:space="preserve">"The continuing high inflation rate, high energy costs, lack of investment in digitalisation and education and the </w:t>
      </w:r>
      <w:r w:rsidR="00F91E55">
        <w:t xml:space="preserve">worldwide </w:t>
      </w:r>
      <w:r w:rsidR="00E14355">
        <w:t xml:space="preserve">geopolitical tensions are weighing on the development and planning security of companies. This is </w:t>
      </w:r>
      <w:r w:rsidR="00111C94">
        <w:t xml:space="preserve">impacting on </w:t>
      </w:r>
      <w:r w:rsidR="00E14355">
        <w:t xml:space="preserve">the German SME sector." </w:t>
      </w:r>
      <w:r w:rsidR="00111C94">
        <w:t xml:space="preserve">With regard to </w:t>
      </w:r>
      <w:r w:rsidR="00E14355">
        <w:t xml:space="preserve">the 2022/2023 </w:t>
      </w:r>
      <w:r w:rsidR="00B25F3B">
        <w:t xml:space="preserve">business </w:t>
      </w:r>
      <w:r w:rsidR="00E14355">
        <w:t>year (30 September 2023)</w:t>
      </w:r>
      <w:r w:rsidR="00111C94">
        <w:t xml:space="preserve"> elapsed</w:t>
      </w:r>
      <w:r w:rsidR="00E14355">
        <w:t xml:space="preserve">, </w:t>
      </w:r>
      <w:r w:rsidR="00B25F3B">
        <w:t xml:space="preserve">Edgar Peter </w:t>
      </w:r>
      <w:proofErr w:type="spellStart"/>
      <w:r w:rsidR="00B25F3B">
        <w:t>Düning</w:t>
      </w:r>
      <w:proofErr w:type="spellEnd"/>
      <w:r w:rsidR="00B25F3B">
        <w:t>, commercial managing director of the Technology Group</w:t>
      </w:r>
      <w:r w:rsidR="00B25F3B" w:rsidDel="00B25F3B">
        <w:t xml:space="preserve"> </w:t>
      </w:r>
      <w:r w:rsidR="00E14355">
        <w:t xml:space="preserve">indicated a sideways movement in sales and revenue targets. The </w:t>
      </w:r>
      <w:r w:rsidR="00111C94">
        <w:t>T</w:t>
      </w:r>
      <w:r w:rsidR="00E14355">
        <w:t xml:space="preserve">echnology </w:t>
      </w:r>
      <w:r w:rsidR="00111C94">
        <w:t>G</w:t>
      </w:r>
      <w:r w:rsidR="00E14355">
        <w:t xml:space="preserve">roup will announce further details at its annual press conference on 1 December 2023. </w:t>
      </w:r>
    </w:p>
    <w:p w14:paraId="258F2CB4" w14:textId="7A176243" w:rsidR="00103008" w:rsidRDefault="00103008" w:rsidP="00E01667">
      <w:pPr>
        <w:spacing w:line="360" w:lineRule="auto"/>
        <w:rPr>
          <w:b/>
          <w:bCs/>
        </w:rPr>
      </w:pPr>
      <w:r>
        <w:rPr>
          <w:b/>
        </w:rPr>
        <w:t xml:space="preserve">"Sustainability is </w:t>
      </w:r>
      <w:r w:rsidR="005B1B09">
        <w:rPr>
          <w:b/>
        </w:rPr>
        <w:t xml:space="preserve">simply </w:t>
      </w:r>
      <w:r>
        <w:rPr>
          <w:b/>
        </w:rPr>
        <w:t xml:space="preserve">not possible without </w:t>
      </w:r>
      <w:r w:rsidR="005B1B09">
        <w:rPr>
          <w:b/>
        </w:rPr>
        <w:t>the d</w:t>
      </w:r>
      <w:r>
        <w:rPr>
          <w:b/>
        </w:rPr>
        <w:t xml:space="preserve">igital </w:t>
      </w:r>
      <w:r w:rsidR="005B1B09">
        <w:rPr>
          <w:b/>
        </w:rPr>
        <w:t>t</w:t>
      </w:r>
      <w:r>
        <w:rPr>
          <w:b/>
        </w:rPr>
        <w:t>win"</w:t>
      </w:r>
    </w:p>
    <w:p w14:paraId="5784AD87" w14:textId="05D9AB1E" w:rsidR="00103008" w:rsidRPr="00103008" w:rsidRDefault="00C57FDC" w:rsidP="00586CBD">
      <w:pPr>
        <w:spacing w:line="360" w:lineRule="auto"/>
      </w:pPr>
      <w:r>
        <w:t xml:space="preserve">HARTING </w:t>
      </w:r>
      <w:r w:rsidR="00111C94">
        <w:t xml:space="preserve">is currently providing the </w:t>
      </w:r>
      <w:r>
        <w:t xml:space="preserve">digital twin for more than 18,800 products in the form of an asset administration shell. Dr Kurt D. Bettenhausen, Director of New Technologies and Development, is convinced: "Sustainability </w:t>
      </w:r>
      <w:r w:rsidR="005B1B09">
        <w:t>is simply</w:t>
      </w:r>
      <w:r w:rsidR="00F91E55">
        <w:t xml:space="preserve"> not </w:t>
      </w:r>
      <w:r>
        <w:t xml:space="preserve">possible without the </w:t>
      </w:r>
      <w:r w:rsidR="00F91E55">
        <w:t>d</w:t>
      </w:r>
      <w:r>
        <w:t xml:space="preserve">igital </w:t>
      </w:r>
      <w:r w:rsidR="00F91E55">
        <w:t>t</w:t>
      </w:r>
      <w:r>
        <w:t>win</w:t>
      </w:r>
      <w:r w:rsidR="00F91E55">
        <w:t>”.</w:t>
      </w:r>
      <w:r>
        <w:t xml:space="preserve"> </w:t>
      </w:r>
      <w:r w:rsidR="00F91E55">
        <w:t xml:space="preserve">At </w:t>
      </w:r>
      <w:r w:rsidR="000435DE">
        <w:t xml:space="preserve">the </w:t>
      </w:r>
      <w:r w:rsidR="00F91E55">
        <w:t xml:space="preserve">HANNOVER MESSE 2023, </w:t>
      </w:r>
      <w:r>
        <w:t>HARTING ha</w:t>
      </w:r>
      <w:r w:rsidR="00F91E55">
        <w:t xml:space="preserve">d </w:t>
      </w:r>
      <w:r>
        <w:t xml:space="preserve">already </w:t>
      </w:r>
      <w:r w:rsidR="005B1B09">
        <w:t xml:space="preserve">featured </w:t>
      </w:r>
      <w:r>
        <w:t xml:space="preserve">a </w:t>
      </w:r>
      <w:r w:rsidR="00F91E55">
        <w:t xml:space="preserve">digital twin </w:t>
      </w:r>
      <w:r>
        <w:t xml:space="preserve">technology demonstrator together with IDTA, Microsoft, SAP and Siemens. The focus was on </w:t>
      </w:r>
      <w:r w:rsidR="00277B79">
        <w:t xml:space="preserve">digital twin life cycles. </w:t>
      </w:r>
      <w:r>
        <w:t xml:space="preserve">For </w:t>
      </w:r>
      <w:r w:rsidR="000435DE">
        <w:t xml:space="preserve">the </w:t>
      </w:r>
      <w:r>
        <w:t xml:space="preserve">SPS 2023, the </w:t>
      </w:r>
      <w:r w:rsidR="000435DE">
        <w:t xml:space="preserve">Technology Group </w:t>
      </w:r>
      <w:r>
        <w:t>will be show</w:t>
      </w:r>
      <w:r w:rsidR="00277B79">
        <w:t xml:space="preserve">casing </w:t>
      </w:r>
      <w:r>
        <w:lastRenderedPageBreak/>
        <w:t>further development</w:t>
      </w:r>
      <w:r w:rsidR="00277B79">
        <w:t>s</w:t>
      </w:r>
      <w:r>
        <w:t xml:space="preserve"> </w:t>
      </w:r>
      <w:r w:rsidR="005B1B09">
        <w:t xml:space="preserve">geared to achieving greater </w:t>
      </w:r>
      <w:r>
        <w:t xml:space="preserve">sustainability. </w:t>
      </w:r>
      <w:r w:rsidR="00111C94">
        <w:t xml:space="preserve">By way of </w:t>
      </w:r>
      <w:r>
        <w:t>the "Digital Product Passport" and "Product Carbon Footprint"</w:t>
      </w:r>
      <w:r w:rsidR="00111C94">
        <w:t xml:space="preserve"> sub-models</w:t>
      </w:r>
      <w:r>
        <w:t xml:space="preserve">, HARTING </w:t>
      </w:r>
      <w:r w:rsidR="005B1B09">
        <w:t xml:space="preserve">is using </w:t>
      </w:r>
      <w:r>
        <w:t xml:space="preserve">the demonstrator to illustrate that the </w:t>
      </w:r>
      <w:r w:rsidR="005B1B09">
        <w:t>d</w:t>
      </w:r>
      <w:r>
        <w:t xml:space="preserve">igital </w:t>
      </w:r>
      <w:r w:rsidR="005B1B09">
        <w:t>t</w:t>
      </w:r>
      <w:r>
        <w:t xml:space="preserve">win </w:t>
      </w:r>
      <w:r w:rsidR="005B1B09">
        <w:t xml:space="preserve">holds </w:t>
      </w:r>
      <w:r>
        <w:t>the leverage to make our industrial world more sustainable.</w:t>
      </w:r>
    </w:p>
    <w:p w14:paraId="62892CDC" w14:textId="2D36CCD7" w:rsidR="00103008" w:rsidRDefault="00423F00" w:rsidP="00E01667">
      <w:pPr>
        <w:spacing w:line="360" w:lineRule="auto"/>
        <w:rPr>
          <w:b/>
          <w:bCs/>
        </w:rPr>
      </w:pPr>
      <w:r>
        <w:rPr>
          <w:b/>
        </w:rPr>
        <w:t>Excellence in Connectivity meets New Energy</w:t>
      </w:r>
    </w:p>
    <w:p w14:paraId="206976E5" w14:textId="5E205F38" w:rsidR="004F3006" w:rsidRDefault="00E8203B" w:rsidP="00E01667">
      <w:pPr>
        <w:spacing w:line="360" w:lineRule="auto"/>
      </w:pPr>
      <w:r>
        <w:t xml:space="preserve">The </w:t>
      </w:r>
      <w:r w:rsidR="00111C94">
        <w:t>T</w:t>
      </w:r>
      <w:r>
        <w:t xml:space="preserve">echnology </w:t>
      </w:r>
      <w:r w:rsidR="00111C94">
        <w:t>G</w:t>
      </w:r>
      <w:r>
        <w:t xml:space="preserve">roup has set up an exemplary battery production </w:t>
      </w:r>
      <w:r w:rsidR="00111C94">
        <w:t xml:space="preserve">unit </w:t>
      </w:r>
      <w:r>
        <w:t xml:space="preserve">at this year's SPS. Based on </w:t>
      </w:r>
      <w:r w:rsidR="005B1B09">
        <w:t xml:space="preserve">this demonstrator, the company is highlighting </w:t>
      </w:r>
      <w:r>
        <w:t xml:space="preserve">solutions for the energetic transformation. </w:t>
      </w:r>
      <w:r w:rsidR="005B1B09">
        <w:t xml:space="preserve">After all, HARTING </w:t>
      </w:r>
      <w:r>
        <w:t xml:space="preserve">connectors are not only </w:t>
      </w:r>
      <w:r w:rsidR="00C9634C">
        <w:t xml:space="preserve">at work </w:t>
      </w:r>
      <w:r>
        <w:t xml:space="preserve">directly on battery modules, but also in their production. </w:t>
      </w:r>
      <w:r w:rsidR="005B1B09">
        <w:t xml:space="preserve">The </w:t>
      </w:r>
      <w:r w:rsidRPr="00B51106">
        <w:t>Han-INOX</w:t>
      </w:r>
      <w:r>
        <w:rPr>
          <w:vertAlign w:val="superscript"/>
        </w:rPr>
        <w:t>®</w:t>
      </w:r>
      <w:r>
        <w:t xml:space="preserve"> </w:t>
      </w:r>
      <w:r w:rsidR="005B1B09">
        <w:t xml:space="preserve">is one such concrete solution, </w:t>
      </w:r>
      <w:r>
        <w:t xml:space="preserve">which has </w:t>
      </w:r>
      <w:r w:rsidR="00C9634C">
        <w:t xml:space="preserve">proved its worth </w:t>
      </w:r>
      <w:r>
        <w:t xml:space="preserve">in the food industry for years. With the </w:t>
      </w:r>
      <w:r w:rsidR="005B1B09">
        <w:t xml:space="preserve">latest </w:t>
      </w:r>
      <w:r>
        <w:t xml:space="preserve">portfolio expansion, </w:t>
      </w:r>
      <w:r w:rsidR="005B1B09">
        <w:t xml:space="preserve">in future </w:t>
      </w:r>
      <w:r>
        <w:t xml:space="preserve">HARTING will </w:t>
      </w:r>
      <w:r w:rsidR="005B1B09">
        <w:t xml:space="preserve">be able to </w:t>
      </w:r>
      <w:r>
        <w:t xml:space="preserve">cover all sizes from 6B to 24B as well as 3A. In addition, the </w:t>
      </w:r>
      <w:r w:rsidR="005B1B09">
        <w:t>T</w:t>
      </w:r>
      <w:r>
        <w:t xml:space="preserve">echnology </w:t>
      </w:r>
      <w:r w:rsidR="005B1B09">
        <w:t>G</w:t>
      </w:r>
      <w:r>
        <w:t>roup is presenting the new IP67 docking frames made of metal for the first time at th</w:t>
      </w:r>
      <w:r w:rsidR="005B1B09">
        <w:t xml:space="preserve">is year’s </w:t>
      </w:r>
      <w:r>
        <w:t xml:space="preserve">SPS, </w:t>
      </w:r>
      <w:r w:rsidR="005B1B09">
        <w:t xml:space="preserve">enabling </w:t>
      </w:r>
      <w:r>
        <w:t xml:space="preserve">"blind" </w:t>
      </w:r>
      <w:r w:rsidR="000435DE">
        <w:t xml:space="preserve">mating </w:t>
      </w:r>
      <w:r>
        <w:t xml:space="preserve">under adverse </w:t>
      </w:r>
      <w:r w:rsidR="005B1B09">
        <w:t xml:space="preserve">ambient </w:t>
      </w:r>
      <w:r>
        <w:t>conditions - for example in mechanical engineering. Other solutions include the new IP67 switch and the next expansion stage of the</w:t>
      </w:r>
      <w:r w:rsidR="005B1B09">
        <w:t xml:space="preserve"> </w:t>
      </w:r>
      <w:r w:rsidRPr="00B51106">
        <w:t>Han</w:t>
      </w:r>
      <w:r>
        <w:rPr>
          <w:vertAlign w:val="superscript"/>
        </w:rPr>
        <w:t>®</w:t>
      </w:r>
      <w:r>
        <w:t xml:space="preserve"> Push-In portfolio </w:t>
      </w:r>
      <w:r w:rsidR="005B1B09">
        <w:t xml:space="preserve">featuring </w:t>
      </w:r>
      <w:r>
        <w:t xml:space="preserve">the first </w:t>
      </w:r>
      <w:proofErr w:type="spellStart"/>
      <w:r>
        <w:t>monoblock</w:t>
      </w:r>
      <w:proofErr w:type="spellEnd"/>
      <w:r>
        <w:t xml:space="preserve"> insert. </w:t>
      </w:r>
    </w:p>
    <w:p w14:paraId="69A77729" w14:textId="118716BB" w:rsidR="004F3006" w:rsidRDefault="00C14182" w:rsidP="00E01667">
      <w:pPr>
        <w:spacing w:line="360" w:lineRule="auto"/>
      </w:pPr>
      <w:r>
        <w:t xml:space="preserve">Together with the Hanover University of Applied Sciences and Arts and </w:t>
      </w:r>
      <w:r w:rsidR="002502E1">
        <w:t xml:space="preserve">the </w:t>
      </w:r>
      <w:r>
        <w:t xml:space="preserve">Helmut Schmidt University Hamburg, HARTING will be presenting a live demonstration on the development of energy management interfaces for IoT technologies at </w:t>
      </w:r>
      <w:r w:rsidR="005B1B09">
        <w:t xml:space="preserve">this year’s </w:t>
      </w:r>
      <w:r>
        <w:t xml:space="preserve">SPS 2023. This is intended to simplify the dissemination and use of </w:t>
      </w:r>
      <w:r w:rsidR="005B1B09">
        <w:t xml:space="preserve">relevant energy consumption </w:t>
      </w:r>
      <w:r>
        <w:t>information</w:t>
      </w:r>
      <w:r w:rsidR="005B1B09">
        <w:t xml:space="preserve"> – thereby ensuring </w:t>
      </w:r>
      <w:r>
        <w:t xml:space="preserve"> sustainable action in industrial production and the efficient and </w:t>
      </w:r>
      <w:r w:rsidR="00A60D8B">
        <w:t xml:space="preserve">prudent </w:t>
      </w:r>
      <w:r>
        <w:t xml:space="preserve">use of energy. </w:t>
      </w:r>
    </w:p>
    <w:p w14:paraId="719DC49A" w14:textId="1ED98998" w:rsidR="00B44ECC" w:rsidRDefault="00B44ECC" w:rsidP="00B44ECC">
      <w:pPr>
        <w:spacing w:line="360" w:lineRule="auto"/>
      </w:pPr>
      <w:r>
        <w:t xml:space="preserve">In addition to plug &amp; play products for </w:t>
      </w:r>
      <w:r w:rsidR="00A60D8B">
        <w:t xml:space="preserve">power </w:t>
      </w:r>
      <w:r>
        <w:t>distribution, HARTING will be show</w:t>
      </w:r>
      <w:r w:rsidR="00A60D8B">
        <w:t xml:space="preserve">casing </w:t>
      </w:r>
      <w:r>
        <w:t xml:space="preserve">solutions for the generation, processing and distribution of hydrogen at SPS 2023. These </w:t>
      </w:r>
      <w:r w:rsidR="00F770AC">
        <w:t xml:space="preserve">solutions </w:t>
      </w:r>
      <w:r>
        <w:t xml:space="preserve">include flexible connections for the transport of mobile storage units and individual and tested connection solutions </w:t>
      </w:r>
      <w:r w:rsidR="00F770AC">
        <w:t xml:space="preserve">geared to </w:t>
      </w:r>
      <w:r>
        <w:t xml:space="preserve">specific environments. </w:t>
      </w:r>
    </w:p>
    <w:p w14:paraId="1A804E9C" w14:textId="4754679A" w:rsidR="005D6C5F" w:rsidRDefault="005D6C5F" w:rsidP="00B44ECC">
      <w:pPr>
        <w:spacing w:line="360" w:lineRule="auto"/>
      </w:pPr>
    </w:p>
    <w:p w14:paraId="0C1749E1" w14:textId="77777777" w:rsidR="005D6C5F" w:rsidRDefault="005D6C5F" w:rsidP="00B44ECC">
      <w:pPr>
        <w:spacing w:line="360" w:lineRule="auto"/>
      </w:pPr>
    </w:p>
    <w:p w14:paraId="23A4ACC3" w14:textId="100E2931" w:rsidR="004F3006" w:rsidRPr="00EC52CC" w:rsidRDefault="004F3006" w:rsidP="00E01667">
      <w:pPr>
        <w:spacing w:line="360" w:lineRule="auto"/>
        <w:rPr>
          <w:b/>
          <w:bCs/>
        </w:rPr>
      </w:pPr>
      <w:r>
        <w:rPr>
          <w:b/>
        </w:rPr>
        <w:lastRenderedPageBreak/>
        <w:t>Ready for Single Pair Ethernet (SPE)</w:t>
      </w:r>
    </w:p>
    <w:p w14:paraId="388F31B0" w14:textId="4E6CCDE8" w:rsidR="004F3006" w:rsidRDefault="004F3006" w:rsidP="00E01667">
      <w:pPr>
        <w:spacing w:line="360" w:lineRule="auto"/>
        <w:rPr>
          <w:rFonts w:cs="Arial"/>
          <w:bCs/>
          <w:bdr w:val="none" w:sz="0" w:space="0" w:color="auto" w:frame="1"/>
        </w:rPr>
      </w:pPr>
      <w:r>
        <w:t xml:space="preserve">SPE is </w:t>
      </w:r>
      <w:r w:rsidR="00F770AC">
        <w:t xml:space="preserve">operational and ready for use. </w:t>
      </w:r>
      <w:r>
        <w:t xml:space="preserve">The </w:t>
      </w:r>
      <w:r w:rsidR="00F770AC">
        <w:t>T</w:t>
      </w:r>
      <w:r>
        <w:t xml:space="preserve">echnology </w:t>
      </w:r>
      <w:r w:rsidR="00F770AC">
        <w:t>G</w:t>
      </w:r>
      <w:r>
        <w:t>roup will be demonstrating this together with partners from the SPE Industrial Partner Network at the SPS</w:t>
      </w:r>
      <w:r w:rsidR="00F770AC">
        <w:t xml:space="preserve">, including </w:t>
      </w:r>
      <w:proofErr w:type="spellStart"/>
      <w:r>
        <w:t>Perinet</w:t>
      </w:r>
      <w:proofErr w:type="spellEnd"/>
      <w:r>
        <w:t xml:space="preserve"> - a sister company of the HARTING Technology Group. Th</w:t>
      </w:r>
      <w:r w:rsidR="00F770AC">
        <w:t xml:space="preserve">is </w:t>
      </w:r>
      <w:r>
        <w:t xml:space="preserve">specialist for the integration of sensors and actuators into the IP world </w:t>
      </w:r>
      <w:r w:rsidR="00F770AC">
        <w:t xml:space="preserve">is </w:t>
      </w:r>
      <w:r>
        <w:t>develop</w:t>
      </w:r>
      <w:r w:rsidR="00F770AC">
        <w:t xml:space="preserve">ing </w:t>
      </w:r>
      <w:r>
        <w:t>and produc</w:t>
      </w:r>
      <w:r w:rsidR="00F770AC">
        <w:t>ing</w:t>
      </w:r>
      <w:r>
        <w:t xml:space="preserve"> new, innovative electronics and electromechanics </w:t>
      </w:r>
      <w:r w:rsidR="00F770AC">
        <w:t xml:space="preserve">components </w:t>
      </w:r>
      <w:r>
        <w:t xml:space="preserve">and the associated software </w:t>
      </w:r>
      <w:r w:rsidR="00F770AC">
        <w:t xml:space="preserve">– based on advanced, leading-edge </w:t>
      </w:r>
      <w:r>
        <w:t xml:space="preserve">technologies. </w:t>
      </w:r>
      <w:r w:rsidR="00F770AC">
        <w:t xml:space="preserve">By way of </w:t>
      </w:r>
      <w:r>
        <w:t xml:space="preserve">a </w:t>
      </w:r>
      <w:r>
        <w:rPr>
          <w:bdr w:val="none" w:sz="0" w:space="0" w:color="auto" w:frame="1"/>
        </w:rPr>
        <w:t>live application, HARTING and partners will illustrate the manufacturer-independent</w:t>
      </w:r>
      <w:r w:rsidR="00F770AC">
        <w:rPr>
          <w:bdr w:val="none" w:sz="0" w:space="0" w:color="auto" w:frame="1"/>
        </w:rPr>
        <w:t>, interactive</w:t>
      </w:r>
      <w:r>
        <w:rPr>
          <w:bdr w:val="none" w:sz="0" w:space="0" w:color="auto" w:frame="1"/>
        </w:rPr>
        <w:t xml:space="preserve"> functionality of SPE devices and components</w:t>
      </w:r>
      <w:r>
        <w:t>.</w:t>
      </w:r>
    </w:p>
    <w:p w14:paraId="1A949B22" w14:textId="3198E60B" w:rsidR="00D975D8" w:rsidRDefault="00C9634C" w:rsidP="001770D5">
      <w:pPr>
        <w:pStyle w:val="BodyTxt1"/>
        <w:rPr>
          <w:rStyle w:val="Hyperlink"/>
          <w:rFonts w:ascii="Arial" w:hAnsi="Arial"/>
          <w:color w:val="auto"/>
          <w:sz w:val="24"/>
          <w:u w:val="none"/>
        </w:rPr>
      </w:pPr>
      <w:r>
        <w:rPr>
          <w:rStyle w:val="Hyperlink"/>
          <w:rFonts w:ascii="Arial" w:hAnsi="Arial"/>
          <w:color w:val="auto"/>
          <w:sz w:val="24"/>
          <w:u w:val="none"/>
        </w:rPr>
        <w:t>Moreover</w:t>
      </w:r>
      <w:r w:rsidR="007D5B5D">
        <w:rPr>
          <w:rStyle w:val="Hyperlink"/>
          <w:rFonts w:ascii="Arial" w:hAnsi="Arial"/>
          <w:color w:val="auto"/>
          <w:sz w:val="24"/>
          <w:u w:val="none"/>
        </w:rPr>
        <w:t xml:space="preserve">, the </w:t>
      </w:r>
      <w:r w:rsidR="00F770AC">
        <w:rPr>
          <w:rStyle w:val="Hyperlink"/>
          <w:rFonts w:ascii="Arial" w:hAnsi="Arial"/>
          <w:color w:val="auto"/>
          <w:sz w:val="24"/>
          <w:u w:val="none"/>
        </w:rPr>
        <w:t>T</w:t>
      </w:r>
      <w:r w:rsidR="007D5B5D">
        <w:rPr>
          <w:rStyle w:val="Hyperlink"/>
          <w:rFonts w:ascii="Arial" w:hAnsi="Arial"/>
          <w:color w:val="auto"/>
          <w:sz w:val="24"/>
          <w:u w:val="none"/>
        </w:rPr>
        <w:t xml:space="preserve">echnology </w:t>
      </w:r>
      <w:r w:rsidR="00F770AC">
        <w:rPr>
          <w:rStyle w:val="Hyperlink"/>
          <w:rFonts w:ascii="Arial" w:hAnsi="Arial"/>
          <w:color w:val="auto"/>
          <w:sz w:val="24"/>
          <w:u w:val="none"/>
        </w:rPr>
        <w:t>G</w:t>
      </w:r>
      <w:r w:rsidR="007D5B5D">
        <w:rPr>
          <w:rStyle w:val="Hyperlink"/>
          <w:rFonts w:ascii="Arial" w:hAnsi="Arial"/>
          <w:color w:val="auto"/>
          <w:sz w:val="24"/>
          <w:u w:val="none"/>
        </w:rPr>
        <w:t xml:space="preserve">roup is presenting a new circular connector in Nuremberg: The M17 series is </w:t>
      </w:r>
      <w:r w:rsidR="00F770AC">
        <w:rPr>
          <w:rStyle w:val="Hyperlink"/>
          <w:rFonts w:ascii="Arial" w:hAnsi="Arial"/>
          <w:color w:val="auto"/>
          <w:sz w:val="24"/>
          <w:u w:val="none"/>
        </w:rPr>
        <w:t xml:space="preserve">ideal </w:t>
      </w:r>
      <w:r w:rsidR="007D5B5D">
        <w:rPr>
          <w:rStyle w:val="Hyperlink"/>
          <w:rFonts w:ascii="Arial" w:hAnsi="Arial"/>
          <w:color w:val="auto"/>
          <w:sz w:val="24"/>
          <w:u w:val="none"/>
        </w:rPr>
        <w:t>for miniaturised drives.</w:t>
      </w:r>
    </w:p>
    <w:p w14:paraId="51BE0FC8" w14:textId="41201360" w:rsidR="005D6C5F" w:rsidRDefault="005D6C5F" w:rsidP="001770D5">
      <w:pPr>
        <w:pStyle w:val="BodyTxt1"/>
        <w:rPr>
          <w:rStyle w:val="Hyperlink"/>
          <w:rFonts w:ascii="Arial" w:hAnsi="Arial"/>
          <w:color w:val="auto"/>
          <w:sz w:val="24"/>
          <w:u w:val="none"/>
        </w:rPr>
      </w:pPr>
      <w:r>
        <w:rPr>
          <w:noProof/>
        </w:rPr>
        <w:drawing>
          <wp:inline distT="0" distB="0" distL="0" distR="0" wp14:anchorId="4AE9C629" wp14:editId="3186E3AF">
            <wp:extent cx="3220871" cy="214848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31569" cy="2155616"/>
                    </a:xfrm>
                    <a:prstGeom prst="rect">
                      <a:avLst/>
                    </a:prstGeom>
                    <a:noFill/>
                    <a:ln>
                      <a:noFill/>
                    </a:ln>
                  </pic:spPr>
                </pic:pic>
              </a:graphicData>
            </a:graphic>
          </wp:inline>
        </w:drawing>
      </w:r>
    </w:p>
    <w:p w14:paraId="7D67B281" w14:textId="7838AEDA" w:rsidR="002F1169" w:rsidRDefault="00EE02A1" w:rsidP="001770D5">
      <w:pPr>
        <w:pStyle w:val="BodyTxt1"/>
        <w:rPr>
          <w:rStyle w:val="Hyperlink"/>
          <w:rFonts w:ascii="Arial" w:hAnsi="Arial" w:cs="Arial"/>
          <w:color w:val="auto"/>
          <w:sz w:val="24"/>
          <w:szCs w:val="24"/>
          <w:u w:val="none"/>
        </w:rPr>
      </w:pPr>
      <w:r>
        <w:rPr>
          <w:rStyle w:val="Hyperlink"/>
          <w:rFonts w:ascii="Arial" w:hAnsi="Arial"/>
          <w:b/>
          <w:color w:val="auto"/>
          <w:sz w:val="24"/>
          <w:u w:val="none"/>
        </w:rPr>
        <w:t xml:space="preserve">Caption: </w:t>
      </w:r>
      <w:r w:rsidR="005D6C5F" w:rsidRPr="005D6C5F">
        <w:rPr>
          <w:rStyle w:val="Hyperlink"/>
          <w:rFonts w:ascii="Arial" w:hAnsi="Arial"/>
          <w:color w:val="auto"/>
          <w:sz w:val="24"/>
          <w:u w:val="none"/>
        </w:rPr>
        <w:t>HARTING's management informed the journalists about the technology group's latest highlights and solutions.</w:t>
      </w:r>
    </w:p>
    <w:bookmarkEnd w:id="0"/>
    <w:bookmarkEnd w:id="1"/>
    <w:p w14:paraId="03E2E57E" w14:textId="77777777" w:rsidR="00B51106" w:rsidRPr="00BE0A39" w:rsidRDefault="00B51106" w:rsidP="00B51106">
      <w:pPr>
        <w:pStyle w:val="KeinLeerraum"/>
        <w:spacing w:line="360" w:lineRule="auto"/>
        <w:rPr>
          <w:rFonts w:cs="Arial"/>
          <w:b/>
          <w:sz w:val="24"/>
          <w:szCs w:val="24"/>
        </w:rPr>
      </w:pPr>
      <w:r w:rsidRPr="00BE0A39">
        <w:rPr>
          <w:b/>
          <w:sz w:val="24"/>
        </w:rPr>
        <w:t>About HARTING:</w:t>
      </w:r>
    </w:p>
    <w:p w14:paraId="328AB8B0" w14:textId="3B4ECA10" w:rsidR="00B51106" w:rsidRPr="00B51106" w:rsidRDefault="00B51106" w:rsidP="00B51106">
      <w:pPr>
        <w:spacing w:line="360" w:lineRule="auto"/>
        <w:contextualSpacing/>
        <w:rPr>
          <w:rFonts w:cs="Arial"/>
          <w:bCs/>
          <w:sz w:val="22"/>
          <w:szCs w:val="24"/>
        </w:rPr>
      </w:pPr>
      <w:r w:rsidRPr="00B51106">
        <w:rPr>
          <w:bCs/>
        </w:rPr>
        <w:t>The HARTING Technology Group is a leading global provider of industrial connectivity. Around 6,500 employees are active across the globe in 44 sales companies, 1</w:t>
      </w:r>
      <w:r w:rsidR="00B22BD1">
        <w:rPr>
          <w:bCs/>
        </w:rPr>
        <w:t>5</w:t>
      </w:r>
      <w:r w:rsidRPr="00B51106">
        <w:rPr>
          <w:bCs/>
        </w:rPr>
        <w:t xml:space="preserve"> production facilities and six development sites. HARTING connectivity solutions are used to transmit "data, signals and power" in numerous industrial sectors. Among others, in transportation, electromobility, renewable energy production, automation and mechanical </w:t>
      </w:r>
      <w:r w:rsidRPr="00B51106">
        <w:rPr>
          <w:bCs/>
        </w:rPr>
        <w:lastRenderedPageBreak/>
        <w:t>engineering. In the 2021/22 business year the family owned and managed company generated sales of EUR 1,059 million.</w:t>
      </w:r>
    </w:p>
    <w:p w14:paraId="0EDC0E55" w14:textId="77777777" w:rsidR="00B51106" w:rsidRPr="00BE0A39" w:rsidRDefault="00B51106" w:rsidP="00B51106">
      <w:pPr>
        <w:spacing w:after="0" w:line="360" w:lineRule="auto"/>
        <w:rPr>
          <w:rFonts w:cs="Arial"/>
          <w:b/>
          <w:szCs w:val="24"/>
        </w:rPr>
      </w:pPr>
    </w:p>
    <w:p w14:paraId="2B1E96EA" w14:textId="77777777" w:rsidR="00B51106" w:rsidRPr="00BE0A39" w:rsidRDefault="00B51106" w:rsidP="00B51106">
      <w:pPr>
        <w:spacing w:line="240" w:lineRule="auto"/>
        <w:contextualSpacing/>
        <w:rPr>
          <w:rFonts w:cs="Arial"/>
          <w:b/>
          <w:szCs w:val="24"/>
          <w:u w:val="single"/>
        </w:rPr>
      </w:pPr>
      <w:r w:rsidRPr="00BE0A39">
        <w:rPr>
          <w:b/>
          <w:u w:val="single"/>
        </w:rPr>
        <w:t>Contact:</w:t>
      </w:r>
    </w:p>
    <w:p w14:paraId="4F906626" w14:textId="77777777" w:rsidR="00B51106" w:rsidRPr="00B51106" w:rsidRDefault="00B51106" w:rsidP="00B51106">
      <w:pPr>
        <w:spacing w:line="240" w:lineRule="auto"/>
        <w:contextualSpacing/>
        <w:rPr>
          <w:rFonts w:eastAsiaTheme="minorEastAsia" w:cs="Arial"/>
          <w:bCs/>
          <w:noProof/>
          <w:szCs w:val="24"/>
        </w:rPr>
      </w:pPr>
      <w:r w:rsidRPr="00B51106">
        <w:rPr>
          <w:bCs/>
        </w:rPr>
        <w:t>HARTING Stiftung &amp; Co. KG</w:t>
      </w:r>
      <w:r w:rsidRPr="00B51106">
        <w:rPr>
          <w:bCs/>
        </w:rPr>
        <w:br/>
        <w:t>Detlef Sieverdingbeck</w:t>
      </w:r>
      <w:r w:rsidRPr="00B51106">
        <w:rPr>
          <w:bCs/>
        </w:rPr>
        <w:br/>
        <w:t>General Manager</w:t>
      </w:r>
      <w:r w:rsidRPr="00B51106">
        <w:rPr>
          <w:bCs/>
        </w:rPr>
        <w:br/>
        <w:t>Corporate Communication &amp; Branding (CCB)</w:t>
      </w:r>
    </w:p>
    <w:p w14:paraId="71ABA328" w14:textId="77777777" w:rsidR="00B51106" w:rsidRPr="00B51106" w:rsidRDefault="00B51106" w:rsidP="00B51106">
      <w:pPr>
        <w:spacing w:line="240" w:lineRule="auto"/>
        <w:contextualSpacing/>
        <w:rPr>
          <w:rFonts w:cs="Arial"/>
          <w:bCs/>
          <w:szCs w:val="24"/>
          <w:lang w:val="en-US"/>
        </w:rPr>
      </w:pPr>
    </w:p>
    <w:p w14:paraId="609F3030" w14:textId="77777777" w:rsidR="00B51106" w:rsidRPr="00B51106" w:rsidRDefault="00B51106" w:rsidP="00B51106">
      <w:pPr>
        <w:spacing w:line="240" w:lineRule="auto"/>
        <w:contextualSpacing/>
        <w:rPr>
          <w:rFonts w:cs="Arial"/>
          <w:bCs/>
          <w:szCs w:val="24"/>
          <w:lang w:val="de-DE"/>
        </w:rPr>
      </w:pPr>
      <w:proofErr w:type="spellStart"/>
      <w:r w:rsidRPr="00B51106">
        <w:rPr>
          <w:rFonts w:cs="Arial"/>
          <w:bCs/>
          <w:szCs w:val="24"/>
          <w:lang w:val="de-DE"/>
        </w:rPr>
        <w:t>Marienwerderstr</w:t>
      </w:r>
      <w:proofErr w:type="spellEnd"/>
      <w:r w:rsidRPr="00B51106">
        <w:rPr>
          <w:rFonts w:cs="Arial"/>
          <w:bCs/>
          <w:szCs w:val="24"/>
          <w:lang w:val="de-DE"/>
        </w:rPr>
        <w:t>. 3</w:t>
      </w:r>
      <w:r w:rsidRPr="00B51106">
        <w:rPr>
          <w:rFonts w:cs="Arial"/>
          <w:bCs/>
          <w:szCs w:val="24"/>
          <w:lang w:val="de-DE"/>
        </w:rPr>
        <w:br/>
        <w:t>D-32339 Espelkamp</w:t>
      </w:r>
    </w:p>
    <w:p w14:paraId="5608889D" w14:textId="77777777" w:rsidR="00B51106" w:rsidRPr="00B51106" w:rsidRDefault="00B51106" w:rsidP="00B51106">
      <w:pPr>
        <w:spacing w:line="240" w:lineRule="auto"/>
        <w:contextualSpacing/>
        <w:rPr>
          <w:rFonts w:cs="Arial"/>
          <w:bCs/>
          <w:szCs w:val="24"/>
          <w:lang w:val="de-DE"/>
        </w:rPr>
      </w:pPr>
    </w:p>
    <w:p w14:paraId="206DCD72" w14:textId="77777777" w:rsidR="00B51106" w:rsidRPr="00B51106" w:rsidRDefault="00B51106" w:rsidP="00B51106">
      <w:pPr>
        <w:spacing w:line="240" w:lineRule="auto"/>
        <w:contextualSpacing/>
        <w:rPr>
          <w:rStyle w:val="Hyperlink"/>
          <w:bCs/>
          <w:szCs w:val="24"/>
          <w:lang w:val="de-DE"/>
        </w:rPr>
      </w:pPr>
      <w:r w:rsidRPr="00B51106">
        <w:rPr>
          <w:rFonts w:cs="Arial"/>
          <w:bCs/>
          <w:szCs w:val="24"/>
          <w:lang w:val="de-DE"/>
        </w:rPr>
        <w:t>Tel.: +49 5772 47-244</w:t>
      </w:r>
      <w:r w:rsidRPr="00B51106">
        <w:rPr>
          <w:rFonts w:cs="Arial"/>
          <w:bCs/>
          <w:szCs w:val="24"/>
          <w:lang w:val="de-DE"/>
        </w:rPr>
        <w:br/>
      </w:r>
      <w:hyperlink r:id="rId9" w:history="1">
        <w:r w:rsidRPr="00B51106">
          <w:rPr>
            <w:rStyle w:val="Hyperlink"/>
            <w:rFonts w:cs="Arial"/>
            <w:bCs/>
            <w:szCs w:val="24"/>
            <w:lang w:val="de-DE"/>
          </w:rPr>
          <w:t>Detlef.Sieverdingbeck@HARTING.com</w:t>
        </w:r>
      </w:hyperlink>
    </w:p>
    <w:p w14:paraId="7081BB2D" w14:textId="4801B0A8" w:rsidR="00AC2C47" w:rsidRPr="00B51106" w:rsidRDefault="00AC2C47" w:rsidP="00B51106">
      <w:pPr>
        <w:pStyle w:val="KeinLeerraum"/>
        <w:spacing w:line="360" w:lineRule="auto"/>
        <w:rPr>
          <w:rStyle w:val="Hyperlink"/>
          <w:szCs w:val="24"/>
          <w:lang w:val="de-DE"/>
        </w:rPr>
      </w:pPr>
    </w:p>
    <w:sectPr w:rsidR="00AC2C47" w:rsidRPr="00B51106"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FD06" w14:textId="77777777" w:rsidR="00CD7CB9" w:rsidRDefault="00CD7CB9" w:rsidP="001A06E0">
      <w:pPr>
        <w:spacing w:after="0" w:line="240" w:lineRule="auto"/>
      </w:pPr>
      <w:r>
        <w:separator/>
      </w:r>
    </w:p>
  </w:endnote>
  <w:endnote w:type="continuationSeparator" w:id="0">
    <w:p w14:paraId="24AC9B46" w14:textId="77777777" w:rsidR="00CD7CB9" w:rsidRDefault="00CD7CB9"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757A" w14:textId="77777777" w:rsidR="00CD7CB9" w:rsidRDefault="00CD7CB9" w:rsidP="001A06E0">
      <w:pPr>
        <w:spacing w:after="0" w:line="240" w:lineRule="auto"/>
      </w:pPr>
      <w:r>
        <w:separator/>
      </w:r>
    </w:p>
  </w:footnote>
  <w:footnote w:type="continuationSeparator" w:id="0">
    <w:p w14:paraId="76044D86" w14:textId="77777777" w:rsidR="00CD7CB9" w:rsidRDefault="00CD7CB9"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037BF1DD" w:rsidR="00E916B2" w:rsidRPr="008724CD" w:rsidRDefault="00146345" w:rsidP="00E916B2">
    <w:pPr>
      <w:spacing w:before="960" w:after="0"/>
      <w:jc w:val="right"/>
      <w:rPr>
        <w:sz w:val="20"/>
        <w:szCs w:val="20"/>
      </w:rPr>
    </w:pPr>
    <w:r>
      <w:rPr>
        <w:noProof/>
        <w:color w:val="FFCC00"/>
      </w:rPr>
      <mc:AlternateContent>
        <mc:Choice Requires="wps">
          <w:drawing>
            <wp:anchor distT="0" distB="0" distL="114300" distR="114300" simplePos="0" relativeHeight="251715584" behindDoc="0" locked="0" layoutInCell="1" allowOverlap="1" wp14:anchorId="2E7D655B" wp14:editId="1BA61B9E">
              <wp:simplePos x="0" y="0"/>
              <wp:positionH relativeFrom="margin">
                <wp:align>left</wp:align>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69B24F" id="Rechteck 1" o:spid="_x0000_s1026" style="position:absolute;margin-left:0;margin-top:5.35pt;width:75.05pt;height:4.7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Pr>
        <w:sz w:val="20"/>
      </w:rPr>
      <w:t xml:space="preserve">November </w:t>
    </w:r>
    <w:r w:rsidR="00945A5C">
      <w:rPr>
        <w:sz w:val="20"/>
      </w:rPr>
      <w:t>2023, Page</w:t>
    </w:r>
    <w:r w:rsidR="00C55C2F">
      <w:rPr>
        <w:sz w:val="20"/>
      </w:rPr>
      <w:t xml:space="preserve"> </w:t>
    </w:r>
    <w:r w:rsidR="00C55C2F">
      <w:rPr>
        <w:sz w:val="20"/>
      </w:rPr>
      <w:fldChar w:fldCharType="begin"/>
    </w:r>
    <w:r w:rsidR="00C55C2F">
      <w:rPr>
        <w:sz w:val="20"/>
      </w:rPr>
      <w:instrText xml:space="preserve"> PAGE  \* Arabic  \* MERGEFORMAT </w:instrText>
    </w:r>
    <w:r w:rsidR="00C55C2F">
      <w:rPr>
        <w:sz w:val="20"/>
      </w:rPr>
      <w:fldChar w:fldCharType="separate"/>
    </w:r>
    <w:r w:rsidR="00C55C2F">
      <w:rPr>
        <w:noProof/>
        <w:sz w:val="20"/>
      </w:rPr>
      <w:t>1</w:t>
    </w:r>
    <w:r w:rsidR="00C55C2F">
      <w:rPr>
        <w:sz w:val="20"/>
      </w:rPr>
      <w:fldChar w:fldCharType="end"/>
    </w:r>
    <w:r w:rsidR="00945A5C">
      <w:rPr>
        <w:sz w:val="20"/>
      </w:rPr>
      <w:t xml:space="preserve"> </w:t>
    </w:r>
    <w:r w:rsidR="00945A5C">
      <w:rPr>
        <w:rStyle w:val="Seitenzahl"/>
      </w:rPr>
      <w:t>/</w:t>
    </w:r>
    <w:r w:rsidR="00945A5C">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4"/>
  </w:num>
  <w:num w:numId="2" w16cid:durableId="301039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3"/>
  </w:num>
  <w:num w:numId="4" w16cid:durableId="940261527">
    <w:abstractNumId w:val="12"/>
  </w:num>
  <w:num w:numId="5" w16cid:durableId="1304892205">
    <w:abstractNumId w:val="6"/>
  </w:num>
  <w:num w:numId="6" w16cid:durableId="1433279481">
    <w:abstractNumId w:val="15"/>
  </w:num>
  <w:num w:numId="7" w16cid:durableId="89936074">
    <w:abstractNumId w:val="1"/>
  </w:num>
  <w:num w:numId="8" w16cid:durableId="707990266">
    <w:abstractNumId w:val="5"/>
  </w:num>
  <w:num w:numId="9" w16cid:durableId="1743990801">
    <w:abstractNumId w:val="4"/>
  </w:num>
  <w:num w:numId="10" w16cid:durableId="571238701">
    <w:abstractNumId w:val="7"/>
  </w:num>
  <w:num w:numId="11" w16cid:durableId="1708791531">
    <w:abstractNumId w:val="13"/>
  </w:num>
  <w:num w:numId="12" w16cid:durableId="107091874">
    <w:abstractNumId w:val="10"/>
  </w:num>
  <w:num w:numId="13" w16cid:durableId="1675111874">
    <w:abstractNumId w:val="8"/>
  </w:num>
  <w:num w:numId="14" w16cid:durableId="1810825549">
    <w:abstractNumId w:val="0"/>
  </w:num>
  <w:num w:numId="15" w16cid:durableId="1334257530">
    <w:abstractNumId w:val="2"/>
  </w:num>
  <w:num w:numId="16" w16cid:durableId="1681737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17C1"/>
    <w:rsid w:val="00006D90"/>
    <w:rsid w:val="000103A1"/>
    <w:rsid w:val="000125A7"/>
    <w:rsid w:val="00012EF4"/>
    <w:rsid w:val="0001628F"/>
    <w:rsid w:val="000167B6"/>
    <w:rsid w:val="00016A4A"/>
    <w:rsid w:val="000175FB"/>
    <w:rsid w:val="0002286F"/>
    <w:rsid w:val="00024C7A"/>
    <w:rsid w:val="00025561"/>
    <w:rsid w:val="000257A2"/>
    <w:rsid w:val="00026BDE"/>
    <w:rsid w:val="000311FD"/>
    <w:rsid w:val="00036C6F"/>
    <w:rsid w:val="000370B6"/>
    <w:rsid w:val="0003755E"/>
    <w:rsid w:val="00037C78"/>
    <w:rsid w:val="000414F5"/>
    <w:rsid w:val="000429F8"/>
    <w:rsid w:val="000435DE"/>
    <w:rsid w:val="00043704"/>
    <w:rsid w:val="0004432D"/>
    <w:rsid w:val="00054949"/>
    <w:rsid w:val="000549C6"/>
    <w:rsid w:val="00056167"/>
    <w:rsid w:val="000563D8"/>
    <w:rsid w:val="00056FBA"/>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28FF"/>
    <w:rsid w:val="00093254"/>
    <w:rsid w:val="000975AC"/>
    <w:rsid w:val="000A030F"/>
    <w:rsid w:val="000A1259"/>
    <w:rsid w:val="000A1463"/>
    <w:rsid w:val="000A28E6"/>
    <w:rsid w:val="000A6A6A"/>
    <w:rsid w:val="000A6B8A"/>
    <w:rsid w:val="000B106C"/>
    <w:rsid w:val="000B34FC"/>
    <w:rsid w:val="000B5123"/>
    <w:rsid w:val="000B58D9"/>
    <w:rsid w:val="000B7D19"/>
    <w:rsid w:val="000C089C"/>
    <w:rsid w:val="000C2A4D"/>
    <w:rsid w:val="000C325B"/>
    <w:rsid w:val="000C3671"/>
    <w:rsid w:val="000C46A0"/>
    <w:rsid w:val="000D0E6E"/>
    <w:rsid w:val="000D0EA9"/>
    <w:rsid w:val="000D18A2"/>
    <w:rsid w:val="000D19AA"/>
    <w:rsid w:val="000D5752"/>
    <w:rsid w:val="000D707D"/>
    <w:rsid w:val="000D797D"/>
    <w:rsid w:val="000E14B3"/>
    <w:rsid w:val="000E1917"/>
    <w:rsid w:val="000E2217"/>
    <w:rsid w:val="000E580E"/>
    <w:rsid w:val="000F09A2"/>
    <w:rsid w:val="000F36CE"/>
    <w:rsid w:val="000F4113"/>
    <w:rsid w:val="000F60CB"/>
    <w:rsid w:val="000F7F66"/>
    <w:rsid w:val="00103008"/>
    <w:rsid w:val="00103CC4"/>
    <w:rsid w:val="001058C3"/>
    <w:rsid w:val="00106700"/>
    <w:rsid w:val="00111C94"/>
    <w:rsid w:val="00114F13"/>
    <w:rsid w:val="001204FD"/>
    <w:rsid w:val="001227B9"/>
    <w:rsid w:val="00133773"/>
    <w:rsid w:val="00134C0D"/>
    <w:rsid w:val="00135716"/>
    <w:rsid w:val="00135DE0"/>
    <w:rsid w:val="00136FFC"/>
    <w:rsid w:val="00137E9A"/>
    <w:rsid w:val="00140761"/>
    <w:rsid w:val="00142217"/>
    <w:rsid w:val="00146345"/>
    <w:rsid w:val="00147C97"/>
    <w:rsid w:val="00152604"/>
    <w:rsid w:val="00153480"/>
    <w:rsid w:val="00155542"/>
    <w:rsid w:val="00156556"/>
    <w:rsid w:val="00156848"/>
    <w:rsid w:val="001573D4"/>
    <w:rsid w:val="001619B3"/>
    <w:rsid w:val="0016795E"/>
    <w:rsid w:val="00170F09"/>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3088"/>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02E1"/>
    <w:rsid w:val="00252B64"/>
    <w:rsid w:val="00252E33"/>
    <w:rsid w:val="00255E86"/>
    <w:rsid w:val="002617F7"/>
    <w:rsid w:val="00261B8E"/>
    <w:rsid w:val="002628AB"/>
    <w:rsid w:val="00264718"/>
    <w:rsid w:val="0027013D"/>
    <w:rsid w:val="00270A16"/>
    <w:rsid w:val="0027225A"/>
    <w:rsid w:val="00276D1A"/>
    <w:rsid w:val="00277554"/>
    <w:rsid w:val="00277B79"/>
    <w:rsid w:val="002834DB"/>
    <w:rsid w:val="002835B9"/>
    <w:rsid w:val="00283D3D"/>
    <w:rsid w:val="0028459A"/>
    <w:rsid w:val="0029246F"/>
    <w:rsid w:val="002945CE"/>
    <w:rsid w:val="00295503"/>
    <w:rsid w:val="00296EFD"/>
    <w:rsid w:val="002A33FA"/>
    <w:rsid w:val="002A5D2B"/>
    <w:rsid w:val="002A6C2F"/>
    <w:rsid w:val="002B183A"/>
    <w:rsid w:val="002B79DB"/>
    <w:rsid w:val="002C224D"/>
    <w:rsid w:val="002C2DF7"/>
    <w:rsid w:val="002C5882"/>
    <w:rsid w:val="002C6681"/>
    <w:rsid w:val="002C7556"/>
    <w:rsid w:val="002D0669"/>
    <w:rsid w:val="002D56A7"/>
    <w:rsid w:val="002D6C84"/>
    <w:rsid w:val="002E17F2"/>
    <w:rsid w:val="002E1D89"/>
    <w:rsid w:val="002E30A3"/>
    <w:rsid w:val="002E412D"/>
    <w:rsid w:val="002E48D1"/>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35BF5"/>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2B2"/>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7E4"/>
    <w:rsid w:val="003B2C38"/>
    <w:rsid w:val="003B44D2"/>
    <w:rsid w:val="003B54AF"/>
    <w:rsid w:val="003D1B15"/>
    <w:rsid w:val="003D1C10"/>
    <w:rsid w:val="003D3A2E"/>
    <w:rsid w:val="003D42B7"/>
    <w:rsid w:val="003D66E4"/>
    <w:rsid w:val="003E19D1"/>
    <w:rsid w:val="003E1A51"/>
    <w:rsid w:val="003E3940"/>
    <w:rsid w:val="003E4A6F"/>
    <w:rsid w:val="003F0395"/>
    <w:rsid w:val="003F30C3"/>
    <w:rsid w:val="003F42BF"/>
    <w:rsid w:val="00400C08"/>
    <w:rsid w:val="004016BA"/>
    <w:rsid w:val="00402A7C"/>
    <w:rsid w:val="00403388"/>
    <w:rsid w:val="0040365C"/>
    <w:rsid w:val="00406989"/>
    <w:rsid w:val="00410FDD"/>
    <w:rsid w:val="00412460"/>
    <w:rsid w:val="0041646F"/>
    <w:rsid w:val="00420117"/>
    <w:rsid w:val="00420F34"/>
    <w:rsid w:val="00422444"/>
    <w:rsid w:val="00423CC9"/>
    <w:rsid w:val="00423F00"/>
    <w:rsid w:val="00426401"/>
    <w:rsid w:val="004274A9"/>
    <w:rsid w:val="00427887"/>
    <w:rsid w:val="00431BB1"/>
    <w:rsid w:val="0043251F"/>
    <w:rsid w:val="004327FB"/>
    <w:rsid w:val="00433A93"/>
    <w:rsid w:val="00435118"/>
    <w:rsid w:val="00436CB0"/>
    <w:rsid w:val="00437448"/>
    <w:rsid w:val="00437989"/>
    <w:rsid w:val="00440DF7"/>
    <w:rsid w:val="00441614"/>
    <w:rsid w:val="00441E8B"/>
    <w:rsid w:val="00443470"/>
    <w:rsid w:val="00446180"/>
    <w:rsid w:val="00447191"/>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5F1"/>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3006"/>
    <w:rsid w:val="004F6E15"/>
    <w:rsid w:val="005009C3"/>
    <w:rsid w:val="0050284A"/>
    <w:rsid w:val="00504883"/>
    <w:rsid w:val="00506FFA"/>
    <w:rsid w:val="005131F1"/>
    <w:rsid w:val="00514D00"/>
    <w:rsid w:val="00520549"/>
    <w:rsid w:val="00520F7F"/>
    <w:rsid w:val="0052126C"/>
    <w:rsid w:val="005222E4"/>
    <w:rsid w:val="00524C0C"/>
    <w:rsid w:val="00525409"/>
    <w:rsid w:val="00525832"/>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6CBD"/>
    <w:rsid w:val="00587204"/>
    <w:rsid w:val="005872AB"/>
    <w:rsid w:val="00590046"/>
    <w:rsid w:val="00590E75"/>
    <w:rsid w:val="00594BF6"/>
    <w:rsid w:val="005976D5"/>
    <w:rsid w:val="005A2125"/>
    <w:rsid w:val="005A57F7"/>
    <w:rsid w:val="005A613D"/>
    <w:rsid w:val="005B0A17"/>
    <w:rsid w:val="005B12D8"/>
    <w:rsid w:val="005B1B09"/>
    <w:rsid w:val="005B206F"/>
    <w:rsid w:val="005C1D33"/>
    <w:rsid w:val="005C2382"/>
    <w:rsid w:val="005C2475"/>
    <w:rsid w:val="005D0E12"/>
    <w:rsid w:val="005D0FEA"/>
    <w:rsid w:val="005D3A3B"/>
    <w:rsid w:val="005D6C5F"/>
    <w:rsid w:val="005E3746"/>
    <w:rsid w:val="005E3BA9"/>
    <w:rsid w:val="005E4602"/>
    <w:rsid w:val="005E4B7C"/>
    <w:rsid w:val="005E5AB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02E1"/>
    <w:rsid w:val="006146EE"/>
    <w:rsid w:val="0061543D"/>
    <w:rsid w:val="006164B5"/>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261"/>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5B1B"/>
    <w:rsid w:val="00767ACC"/>
    <w:rsid w:val="00767DBB"/>
    <w:rsid w:val="00767FD3"/>
    <w:rsid w:val="00770A5B"/>
    <w:rsid w:val="00773078"/>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4888"/>
    <w:rsid w:val="007C5D3F"/>
    <w:rsid w:val="007D1DC6"/>
    <w:rsid w:val="007D383C"/>
    <w:rsid w:val="007D5B5D"/>
    <w:rsid w:val="007D5CCD"/>
    <w:rsid w:val="007D5F54"/>
    <w:rsid w:val="007D66C5"/>
    <w:rsid w:val="007E395D"/>
    <w:rsid w:val="007E513E"/>
    <w:rsid w:val="007F2667"/>
    <w:rsid w:val="007F4458"/>
    <w:rsid w:val="007F48A9"/>
    <w:rsid w:val="00800D1D"/>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46F5C"/>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86F5A"/>
    <w:rsid w:val="00892386"/>
    <w:rsid w:val="008946B1"/>
    <w:rsid w:val="00894F39"/>
    <w:rsid w:val="00897258"/>
    <w:rsid w:val="0089728B"/>
    <w:rsid w:val="008A219F"/>
    <w:rsid w:val="008A33D2"/>
    <w:rsid w:val="008B182C"/>
    <w:rsid w:val="008B2732"/>
    <w:rsid w:val="008B4232"/>
    <w:rsid w:val="008B5C50"/>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2A27"/>
    <w:rsid w:val="008F31F8"/>
    <w:rsid w:val="008F3736"/>
    <w:rsid w:val="008F4604"/>
    <w:rsid w:val="008F62CA"/>
    <w:rsid w:val="008F76E9"/>
    <w:rsid w:val="009007DE"/>
    <w:rsid w:val="009032F3"/>
    <w:rsid w:val="0090429F"/>
    <w:rsid w:val="0090532E"/>
    <w:rsid w:val="009137E1"/>
    <w:rsid w:val="00915C35"/>
    <w:rsid w:val="0092130B"/>
    <w:rsid w:val="00921E82"/>
    <w:rsid w:val="00922A91"/>
    <w:rsid w:val="0092475E"/>
    <w:rsid w:val="00925272"/>
    <w:rsid w:val="009403C1"/>
    <w:rsid w:val="009422DF"/>
    <w:rsid w:val="00945A5C"/>
    <w:rsid w:val="0094658A"/>
    <w:rsid w:val="009533ED"/>
    <w:rsid w:val="00953402"/>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C742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4B33"/>
    <w:rsid w:val="00A459B6"/>
    <w:rsid w:val="00A47431"/>
    <w:rsid w:val="00A50321"/>
    <w:rsid w:val="00A50D29"/>
    <w:rsid w:val="00A510E5"/>
    <w:rsid w:val="00A54C02"/>
    <w:rsid w:val="00A55B7A"/>
    <w:rsid w:val="00A561B5"/>
    <w:rsid w:val="00A574DB"/>
    <w:rsid w:val="00A60D8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2BD1"/>
    <w:rsid w:val="00B24E21"/>
    <w:rsid w:val="00B25F3B"/>
    <w:rsid w:val="00B310C4"/>
    <w:rsid w:val="00B32E26"/>
    <w:rsid w:val="00B3603D"/>
    <w:rsid w:val="00B37104"/>
    <w:rsid w:val="00B40EA2"/>
    <w:rsid w:val="00B415EC"/>
    <w:rsid w:val="00B419B2"/>
    <w:rsid w:val="00B4241D"/>
    <w:rsid w:val="00B4275E"/>
    <w:rsid w:val="00B434E2"/>
    <w:rsid w:val="00B44778"/>
    <w:rsid w:val="00B44ECC"/>
    <w:rsid w:val="00B507D1"/>
    <w:rsid w:val="00B51106"/>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141"/>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4182"/>
    <w:rsid w:val="00C1702B"/>
    <w:rsid w:val="00C17D0F"/>
    <w:rsid w:val="00C21DE7"/>
    <w:rsid w:val="00C2223A"/>
    <w:rsid w:val="00C22BBB"/>
    <w:rsid w:val="00C22CC2"/>
    <w:rsid w:val="00C23BF5"/>
    <w:rsid w:val="00C27B16"/>
    <w:rsid w:val="00C30205"/>
    <w:rsid w:val="00C30C59"/>
    <w:rsid w:val="00C30EB8"/>
    <w:rsid w:val="00C319D2"/>
    <w:rsid w:val="00C31FB7"/>
    <w:rsid w:val="00C359AE"/>
    <w:rsid w:val="00C361FD"/>
    <w:rsid w:val="00C36A00"/>
    <w:rsid w:val="00C371D0"/>
    <w:rsid w:val="00C40541"/>
    <w:rsid w:val="00C419E7"/>
    <w:rsid w:val="00C42997"/>
    <w:rsid w:val="00C42FF2"/>
    <w:rsid w:val="00C43DA4"/>
    <w:rsid w:val="00C5366F"/>
    <w:rsid w:val="00C551D0"/>
    <w:rsid w:val="00C554AB"/>
    <w:rsid w:val="00C55C2F"/>
    <w:rsid w:val="00C5603E"/>
    <w:rsid w:val="00C57FDC"/>
    <w:rsid w:val="00C61E86"/>
    <w:rsid w:val="00C632A4"/>
    <w:rsid w:val="00C63302"/>
    <w:rsid w:val="00C63811"/>
    <w:rsid w:val="00C63FEF"/>
    <w:rsid w:val="00C65A7E"/>
    <w:rsid w:val="00C7156F"/>
    <w:rsid w:val="00C73697"/>
    <w:rsid w:val="00C747EB"/>
    <w:rsid w:val="00C749EC"/>
    <w:rsid w:val="00C74F1E"/>
    <w:rsid w:val="00C754D6"/>
    <w:rsid w:val="00C76001"/>
    <w:rsid w:val="00C81ADE"/>
    <w:rsid w:val="00C82941"/>
    <w:rsid w:val="00C85E3E"/>
    <w:rsid w:val="00C9083F"/>
    <w:rsid w:val="00C95698"/>
    <w:rsid w:val="00C9634C"/>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D7CB9"/>
    <w:rsid w:val="00CE02B0"/>
    <w:rsid w:val="00CE03A0"/>
    <w:rsid w:val="00CE0920"/>
    <w:rsid w:val="00CE1186"/>
    <w:rsid w:val="00CE1724"/>
    <w:rsid w:val="00CE1ACE"/>
    <w:rsid w:val="00CF32D1"/>
    <w:rsid w:val="00CF35B7"/>
    <w:rsid w:val="00CF4D8D"/>
    <w:rsid w:val="00CF6008"/>
    <w:rsid w:val="00D00960"/>
    <w:rsid w:val="00D00E10"/>
    <w:rsid w:val="00D015AE"/>
    <w:rsid w:val="00D01FA5"/>
    <w:rsid w:val="00D03D6B"/>
    <w:rsid w:val="00D06572"/>
    <w:rsid w:val="00D11607"/>
    <w:rsid w:val="00D1408F"/>
    <w:rsid w:val="00D14559"/>
    <w:rsid w:val="00D175AC"/>
    <w:rsid w:val="00D21607"/>
    <w:rsid w:val="00D216C3"/>
    <w:rsid w:val="00D222EA"/>
    <w:rsid w:val="00D22D18"/>
    <w:rsid w:val="00D23562"/>
    <w:rsid w:val="00D24575"/>
    <w:rsid w:val="00D24BA6"/>
    <w:rsid w:val="00D2573B"/>
    <w:rsid w:val="00D2682F"/>
    <w:rsid w:val="00D26F07"/>
    <w:rsid w:val="00D27CA0"/>
    <w:rsid w:val="00D3146A"/>
    <w:rsid w:val="00D314C8"/>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975D8"/>
    <w:rsid w:val="00D97D18"/>
    <w:rsid w:val="00DA0980"/>
    <w:rsid w:val="00DA0B0B"/>
    <w:rsid w:val="00DA2A49"/>
    <w:rsid w:val="00DA2B8B"/>
    <w:rsid w:val="00DA3FC8"/>
    <w:rsid w:val="00DA49DF"/>
    <w:rsid w:val="00DA6285"/>
    <w:rsid w:val="00DB0CFF"/>
    <w:rsid w:val="00DB256C"/>
    <w:rsid w:val="00DB4208"/>
    <w:rsid w:val="00DB5D56"/>
    <w:rsid w:val="00DB6E3A"/>
    <w:rsid w:val="00DB7E8F"/>
    <w:rsid w:val="00DC1CF9"/>
    <w:rsid w:val="00DC255B"/>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2886"/>
    <w:rsid w:val="00E13ACD"/>
    <w:rsid w:val="00E14355"/>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56337"/>
    <w:rsid w:val="00E611C3"/>
    <w:rsid w:val="00E61D01"/>
    <w:rsid w:val="00E62253"/>
    <w:rsid w:val="00E622EE"/>
    <w:rsid w:val="00E6231C"/>
    <w:rsid w:val="00E6307C"/>
    <w:rsid w:val="00E63640"/>
    <w:rsid w:val="00E73564"/>
    <w:rsid w:val="00E739E4"/>
    <w:rsid w:val="00E73A97"/>
    <w:rsid w:val="00E772F3"/>
    <w:rsid w:val="00E77A69"/>
    <w:rsid w:val="00E80903"/>
    <w:rsid w:val="00E8203B"/>
    <w:rsid w:val="00E82952"/>
    <w:rsid w:val="00E8310E"/>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7531"/>
    <w:rsid w:val="00EB45FD"/>
    <w:rsid w:val="00EB4CC5"/>
    <w:rsid w:val="00EB556B"/>
    <w:rsid w:val="00EB6227"/>
    <w:rsid w:val="00EC0582"/>
    <w:rsid w:val="00EC06C7"/>
    <w:rsid w:val="00EC146D"/>
    <w:rsid w:val="00EC1EC1"/>
    <w:rsid w:val="00EC3257"/>
    <w:rsid w:val="00EC3E58"/>
    <w:rsid w:val="00EC52CC"/>
    <w:rsid w:val="00EC6256"/>
    <w:rsid w:val="00EC74D5"/>
    <w:rsid w:val="00ED0835"/>
    <w:rsid w:val="00ED10E6"/>
    <w:rsid w:val="00ED3F2D"/>
    <w:rsid w:val="00ED3F94"/>
    <w:rsid w:val="00ED540F"/>
    <w:rsid w:val="00ED5A97"/>
    <w:rsid w:val="00ED75B3"/>
    <w:rsid w:val="00EE02A1"/>
    <w:rsid w:val="00EE0506"/>
    <w:rsid w:val="00EE1BC7"/>
    <w:rsid w:val="00EE5610"/>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57442"/>
    <w:rsid w:val="00F60015"/>
    <w:rsid w:val="00F60D23"/>
    <w:rsid w:val="00F61838"/>
    <w:rsid w:val="00F61B9E"/>
    <w:rsid w:val="00F62884"/>
    <w:rsid w:val="00F65E00"/>
    <w:rsid w:val="00F66DDB"/>
    <w:rsid w:val="00F72B16"/>
    <w:rsid w:val="00F72FC3"/>
    <w:rsid w:val="00F74C73"/>
    <w:rsid w:val="00F751C2"/>
    <w:rsid w:val="00F770AC"/>
    <w:rsid w:val="00F80383"/>
    <w:rsid w:val="00F80E51"/>
    <w:rsid w:val="00F83CD2"/>
    <w:rsid w:val="00F85666"/>
    <w:rsid w:val="00F865A5"/>
    <w:rsid w:val="00F86B46"/>
    <w:rsid w:val="00F90850"/>
    <w:rsid w:val="00F91E55"/>
    <w:rsid w:val="00F942E0"/>
    <w:rsid w:val="00F94A37"/>
    <w:rsid w:val="00F958C2"/>
    <w:rsid w:val="00F962B6"/>
    <w:rsid w:val="00F97DC8"/>
    <w:rsid w:val="00FA0E5F"/>
    <w:rsid w:val="00FA3E7B"/>
    <w:rsid w:val="00FA4D8E"/>
    <w:rsid w:val="00FA656E"/>
    <w:rsid w:val="00FA797B"/>
    <w:rsid w:val="00FB0F6A"/>
    <w:rsid w:val="00FB259B"/>
    <w:rsid w:val="00FB3309"/>
    <w:rsid w:val="00FC1A36"/>
    <w:rsid w:val="00FC35F3"/>
    <w:rsid w:val="00FD3449"/>
    <w:rsid w:val="00FD35EA"/>
    <w:rsid w:val="00FD427C"/>
    <w:rsid w:val="00FD439F"/>
    <w:rsid w:val="00FD4B5A"/>
    <w:rsid w:val="00FD6F55"/>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5160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11</cp:revision>
  <cp:lastPrinted>2023-10-19T10:45:00Z</cp:lastPrinted>
  <dcterms:created xsi:type="dcterms:W3CDTF">2023-11-10T13:18:00Z</dcterms:created>
  <dcterms:modified xsi:type="dcterms:W3CDTF">2023-11-14T16:40:00Z</dcterms:modified>
  <cp:category>Vorlage</cp:category>
</cp:coreProperties>
</file>